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92D" w:rsidRDefault="00BB792D" w:rsidP="00BB792D">
      <w:pPr>
        <w:spacing w:before="120" w:after="120" w:line="240" w:lineRule="auto"/>
        <w:jc w:val="center"/>
        <w:rPr>
          <w:b/>
          <w:sz w:val="32"/>
          <w:szCs w:val="24"/>
          <w:u w:val="single"/>
        </w:rPr>
      </w:pPr>
      <w:r>
        <w:rPr>
          <w:b/>
          <w:sz w:val="32"/>
          <w:szCs w:val="24"/>
          <w:u w:val="single"/>
        </w:rPr>
        <w:t xml:space="preserve">Trends in the Receipt and Disposal of RTI Applications by </w:t>
      </w:r>
    </w:p>
    <w:p w:rsidR="00BB792D" w:rsidRDefault="00BB792D" w:rsidP="00BB792D">
      <w:pPr>
        <w:spacing w:before="120" w:after="120" w:line="240" w:lineRule="auto"/>
        <w:jc w:val="center"/>
        <w:rPr>
          <w:b/>
          <w:sz w:val="32"/>
          <w:szCs w:val="24"/>
          <w:u w:val="single"/>
        </w:rPr>
      </w:pPr>
      <w:r>
        <w:rPr>
          <w:b/>
          <w:sz w:val="32"/>
          <w:szCs w:val="24"/>
          <w:u w:val="single"/>
        </w:rPr>
        <w:t>Public Sector Banks and the Reserve Bank of India in 2016-17</w:t>
      </w:r>
    </w:p>
    <w:p w:rsidR="00BB792D" w:rsidRPr="00B62503" w:rsidRDefault="00BB792D" w:rsidP="00BB792D">
      <w:pPr>
        <w:spacing w:before="120" w:after="120" w:line="240" w:lineRule="auto"/>
        <w:jc w:val="center"/>
        <w:rPr>
          <w:b/>
          <w:sz w:val="24"/>
          <w:szCs w:val="24"/>
        </w:rPr>
      </w:pPr>
      <w:r w:rsidRPr="00B62503">
        <w:rPr>
          <w:b/>
          <w:sz w:val="24"/>
          <w:szCs w:val="24"/>
          <w:u w:val="single"/>
        </w:rPr>
        <w:t>(Based on statistics reported to the Central Information Commission)</w:t>
      </w:r>
    </w:p>
    <w:p w:rsidR="00BB792D" w:rsidRPr="00B62503" w:rsidRDefault="00BB792D" w:rsidP="00BB792D">
      <w:pPr>
        <w:pStyle w:val="ListParagraph"/>
        <w:numPr>
          <w:ilvl w:val="0"/>
          <w:numId w:val="9"/>
        </w:numPr>
        <w:spacing w:before="240" w:after="0" w:line="240" w:lineRule="auto"/>
        <w:ind w:left="418"/>
        <w:contextualSpacing w:val="0"/>
        <w:jc w:val="right"/>
        <w:rPr>
          <w:b/>
          <w:i/>
          <w:sz w:val="24"/>
          <w:szCs w:val="24"/>
        </w:rPr>
      </w:pPr>
      <w:r w:rsidRPr="00B62503">
        <w:rPr>
          <w:b/>
          <w:i/>
          <w:sz w:val="24"/>
          <w:szCs w:val="24"/>
        </w:rPr>
        <w:t>Venkatesh Nayak</w:t>
      </w:r>
    </w:p>
    <w:p w:rsidR="00BB792D" w:rsidRPr="00B62503" w:rsidRDefault="00BB792D" w:rsidP="00BB792D">
      <w:pPr>
        <w:spacing w:after="120" w:line="240" w:lineRule="auto"/>
        <w:jc w:val="right"/>
        <w:rPr>
          <w:b/>
          <w:i/>
          <w:sz w:val="24"/>
          <w:szCs w:val="24"/>
        </w:rPr>
      </w:pPr>
      <w:r w:rsidRPr="00B62503">
        <w:rPr>
          <w:b/>
          <w:i/>
          <w:sz w:val="24"/>
          <w:szCs w:val="24"/>
        </w:rPr>
        <w:t>Access to Information Programme, Commonwealth Human Rights Initiative, New Delhi</w:t>
      </w:r>
    </w:p>
    <w:p w:rsidR="00BB792D" w:rsidRDefault="00BB792D" w:rsidP="00BB792D">
      <w:pPr>
        <w:pBdr>
          <w:bottom w:val="single" w:sz="4" w:space="1" w:color="auto"/>
        </w:pBdr>
        <w:spacing w:before="120" w:after="120" w:line="240" w:lineRule="auto"/>
        <w:jc w:val="right"/>
        <w:rPr>
          <w:b/>
          <w:sz w:val="24"/>
          <w:szCs w:val="24"/>
        </w:rPr>
      </w:pPr>
      <w:r>
        <w:rPr>
          <w:b/>
          <w:sz w:val="24"/>
          <w:szCs w:val="24"/>
        </w:rPr>
        <w:t>(April 2018)</w:t>
      </w:r>
    </w:p>
    <w:p w:rsidR="00BB792D" w:rsidRPr="00285C75" w:rsidRDefault="00BB792D" w:rsidP="00BB792D">
      <w:pPr>
        <w:spacing w:before="120" w:after="0" w:line="240" w:lineRule="auto"/>
        <w:rPr>
          <w:sz w:val="36"/>
          <w:szCs w:val="24"/>
        </w:rPr>
      </w:pPr>
      <w:r w:rsidRPr="00285C75">
        <w:rPr>
          <w:b/>
          <w:i/>
          <w:sz w:val="36"/>
          <w:szCs w:val="24"/>
        </w:rPr>
        <w:t>Background</w:t>
      </w:r>
    </w:p>
    <w:p w:rsidR="00BB792D" w:rsidRDefault="00BB792D" w:rsidP="00BB792D">
      <w:pPr>
        <w:spacing w:after="0" w:line="240" w:lineRule="auto"/>
        <w:jc w:val="both"/>
        <w:rPr>
          <w:sz w:val="24"/>
          <w:szCs w:val="24"/>
        </w:rPr>
      </w:pPr>
      <w:r>
        <w:rPr>
          <w:sz w:val="24"/>
          <w:szCs w:val="24"/>
        </w:rPr>
        <w:t xml:space="preserve">To </w:t>
      </w:r>
      <w:r w:rsidR="002B71C3">
        <w:rPr>
          <w:sz w:val="24"/>
          <w:szCs w:val="24"/>
        </w:rPr>
        <w:t>say</w:t>
      </w:r>
      <w:r>
        <w:rPr>
          <w:sz w:val="24"/>
          <w:szCs w:val="24"/>
        </w:rPr>
        <w:t xml:space="preserve"> that the banking sector in India is going through a “crisis phase” would be a bald understatement. Bad loans or “non-performing assets” (NPAs) – the officially sanitised terminology, have risen to unprecedented levels in 2018. According to the </w:t>
      </w:r>
      <w:hyperlink r:id="rId8" w:history="1">
        <w:r>
          <w:rPr>
            <w:rStyle w:val="Hyperlink"/>
            <w:sz w:val="24"/>
            <w:szCs w:val="24"/>
          </w:rPr>
          <w:t>statistics that the</w:t>
        </w:r>
        <w:r w:rsidRPr="004B7CC7">
          <w:rPr>
            <w:rStyle w:val="Hyperlink"/>
            <w:sz w:val="24"/>
            <w:szCs w:val="24"/>
          </w:rPr>
          <w:t xml:space="preserve"> Union Minister of State for Finance</w:t>
        </w:r>
      </w:hyperlink>
      <w:r>
        <w:rPr>
          <w:sz w:val="24"/>
          <w:szCs w:val="24"/>
        </w:rPr>
        <w:t xml:space="preserve">, tabled in the Lok Sabha on 06 April, 2018, NPAs in gross form (pun intended) stood at INR 6.89 lakh (more than USD 150 billion) crores at the end of June, 2017. There </w:t>
      </w:r>
      <w:r w:rsidR="00DC56AB">
        <w:rPr>
          <w:sz w:val="24"/>
          <w:szCs w:val="24"/>
        </w:rPr>
        <w:t>is speculation in</w:t>
      </w:r>
      <w:r>
        <w:rPr>
          <w:sz w:val="24"/>
          <w:szCs w:val="24"/>
        </w:rPr>
        <w:t xml:space="preserve"> the media that </w:t>
      </w:r>
      <w:hyperlink r:id="rId9" w:history="1">
        <w:r w:rsidRPr="000A07FE">
          <w:rPr>
            <w:rStyle w:val="Hyperlink"/>
            <w:sz w:val="24"/>
            <w:szCs w:val="24"/>
          </w:rPr>
          <w:t xml:space="preserve">this figure might have </w:t>
        </w:r>
        <w:r w:rsidR="000A07FE" w:rsidRPr="000A07FE">
          <w:rPr>
            <w:rStyle w:val="Hyperlink"/>
            <w:sz w:val="24"/>
            <w:szCs w:val="24"/>
          </w:rPr>
          <w:t>crossed</w:t>
        </w:r>
        <w:r w:rsidRPr="000A07FE">
          <w:rPr>
            <w:rStyle w:val="Hyperlink"/>
            <w:sz w:val="24"/>
            <w:szCs w:val="24"/>
          </w:rPr>
          <w:t xml:space="preserve"> INR 9 </w:t>
        </w:r>
        <w:r w:rsidR="000A07FE" w:rsidRPr="000A07FE">
          <w:rPr>
            <w:rStyle w:val="Hyperlink"/>
            <w:sz w:val="24"/>
            <w:szCs w:val="24"/>
          </w:rPr>
          <w:t>lakh crores</w:t>
        </w:r>
      </w:hyperlink>
      <w:r>
        <w:rPr>
          <w:sz w:val="24"/>
          <w:szCs w:val="24"/>
        </w:rPr>
        <w:t xml:space="preserve"> </w:t>
      </w:r>
      <w:r w:rsidR="00DC56AB">
        <w:rPr>
          <w:sz w:val="24"/>
          <w:szCs w:val="24"/>
        </w:rPr>
        <w:t>by now</w:t>
      </w:r>
      <w:r>
        <w:rPr>
          <w:sz w:val="24"/>
          <w:szCs w:val="24"/>
        </w:rPr>
        <w:t xml:space="preserve">. A few months ago, the ruling NDA and the Opposition traded charges in Parliament over who should be held responsible for so many loans going bad. The UPA was in power for a decade until the fag end of May 2014. The banking sector was saddled with INR 2.67 lakh crores worth of gross NPAs at the end of the fiscal year 2014-15 - almost a year after the NDA took over. More </w:t>
      </w:r>
      <w:hyperlink r:id="rId10" w:history="1">
        <w:r w:rsidRPr="001145C0">
          <w:rPr>
            <w:rStyle w:val="Hyperlink"/>
            <w:sz w:val="24"/>
            <w:szCs w:val="24"/>
          </w:rPr>
          <w:t>recent reports</w:t>
        </w:r>
      </w:hyperlink>
      <w:r>
        <w:rPr>
          <w:sz w:val="24"/>
          <w:szCs w:val="24"/>
        </w:rPr>
        <w:t xml:space="preserve"> indicate that the rate of recovery of written off bad loans has also been extremely poor during the last four years.</w:t>
      </w:r>
    </w:p>
    <w:p w:rsidR="00BB792D" w:rsidRDefault="00BB792D" w:rsidP="00BB792D">
      <w:pPr>
        <w:spacing w:after="0" w:line="240" w:lineRule="auto"/>
        <w:jc w:val="both"/>
        <w:rPr>
          <w:sz w:val="24"/>
          <w:szCs w:val="24"/>
        </w:rPr>
      </w:pPr>
    </w:p>
    <w:p w:rsidR="00BB792D" w:rsidRDefault="009A128C" w:rsidP="00BB792D">
      <w:pPr>
        <w:spacing w:after="0" w:line="240" w:lineRule="auto"/>
        <w:jc w:val="both"/>
        <w:rPr>
          <w:sz w:val="24"/>
          <w:szCs w:val="24"/>
        </w:rPr>
      </w:pPr>
      <w:hyperlink r:id="rId11" w:history="1">
        <w:r w:rsidR="00BB792D" w:rsidRPr="001145C0">
          <w:rPr>
            <w:rStyle w:val="Hyperlink"/>
            <w:sz w:val="24"/>
            <w:szCs w:val="24"/>
          </w:rPr>
          <w:t>Some economists</w:t>
        </w:r>
      </w:hyperlink>
      <w:r w:rsidR="00BB792D">
        <w:rPr>
          <w:sz w:val="24"/>
          <w:szCs w:val="24"/>
        </w:rPr>
        <w:t xml:space="preserve"> are once again calling for the privatisation of public sector banks (PSBs) to improve their governance and functioning. The </w:t>
      </w:r>
      <w:hyperlink r:id="rId12" w:history="1">
        <w:r w:rsidR="00BB792D" w:rsidRPr="00E23832">
          <w:rPr>
            <w:rStyle w:val="Hyperlink"/>
            <w:sz w:val="24"/>
            <w:szCs w:val="24"/>
          </w:rPr>
          <w:t>recommendations of the PJ Nayak Committee</w:t>
        </w:r>
      </w:hyperlink>
      <w:r w:rsidR="00BB792D">
        <w:rPr>
          <w:sz w:val="24"/>
          <w:szCs w:val="24"/>
        </w:rPr>
        <w:t xml:space="preserve"> which reviewed</w:t>
      </w:r>
      <w:r w:rsidR="00BB792D" w:rsidRPr="004F2506">
        <w:rPr>
          <w:sz w:val="24"/>
          <w:szCs w:val="24"/>
        </w:rPr>
        <w:t xml:space="preserve"> the governance of boards of banks- both public and private in India</w:t>
      </w:r>
      <w:r w:rsidR="00BB792D">
        <w:rPr>
          <w:sz w:val="24"/>
          <w:szCs w:val="24"/>
        </w:rPr>
        <w:t xml:space="preserve"> submitted to the Reserve Bank of India in May 2014 are being dusted and dished out to the public in support of these demands</w:t>
      </w:r>
      <w:r w:rsidR="00BB792D" w:rsidRPr="004F2506">
        <w:rPr>
          <w:sz w:val="24"/>
          <w:szCs w:val="24"/>
        </w:rPr>
        <w:t>.</w:t>
      </w:r>
      <w:r w:rsidR="00BB792D">
        <w:rPr>
          <w:sz w:val="24"/>
          <w:szCs w:val="24"/>
        </w:rPr>
        <w:t xml:space="preserve"> This</w:t>
      </w:r>
      <w:r w:rsidR="00BB792D" w:rsidRPr="004F2506">
        <w:rPr>
          <w:sz w:val="24"/>
          <w:szCs w:val="24"/>
        </w:rPr>
        <w:t xml:space="preserve"> committee</w:t>
      </w:r>
      <w:r w:rsidR="00BB792D">
        <w:rPr>
          <w:sz w:val="24"/>
          <w:szCs w:val="24"/>
        </w:rPr>
        <w:t xml:space="preserve"> identified the application of </w:t>
      </w:r>
      <w:r w:rsidR="00BB792D">
        <w:rPr>
          <w:i/>
          <w:sz w:val="24"/>
          <w:szCs w:val="24"/>
        </w:rPr>
        <w:t xml:space="preserve">The Right to Information Act, 2005 </w:t>
      </w:r>
      <w:r w:rsidR="00BB792D">
        <w:rPr>
          <w:sz w:val="24"/>
          <w:szCs w:val="24"/>
        </w:rPr>
        <w:t>(RTI Act) to all PSBs as a major constraint affecting their governance amongst others. No statistics or anecdotal information were furnished in support of this finding.</w:t>
      </w:r>
    </w:p>
    <w:p w:rsidR="00BB792D" w:rsidRDefault="00BB792D" w:rsidP="00BB792D">
      <w:pPr>
        <w:spacing w:after="0" w:line="240" w:lineRule="auto"/>
        <w:jc w:val="both"/>
        <w:rPr>
          <w:sz w:val="24"/>
          <w:szCs w:val="24"/>
        </w:rPr>
      </w:pPr>
    </w:p>
    <w:p w:rsidR="00BB792D" w:rsidRDefault="002B71C3" w:rsidP="00BB792D">
      <w:pPr>
        <w:spacing w:after="0" w:line="240" w:lineRule="auto"/>
        <w:jc w:val="both"/>
        <w:rPr>
          <w:sz w:val="24"/>
          <w:szCs w:val="24"/>
        </w:rPr>
      </w:pPr>
      <w:r>
        <w:rPr>
          <w:sz w:val="24"/>
          <w:szCs w:val="24"/>
        </w:rPr>
        <w:t>Ever since</w:t>
      </w:r>
      <w:r w:rsidR="00BB792D">
        <w:rPr>
          <w:sz w:val="24"/>
          <w:szCs w:val="24"/>
        </w:rPr>
        <w:t xml:space="preserve"> the publication of the report of the PJ Nayak Committee, </w:t>
      </w:r>
      <w:hyperlink r:id="rId13" w:history="1">
        <w:r w:rsidR="00BB792D" w:rsidRPr="000A07FE">
          <w:rPr>
            <w:rStyle w:val="Hyperlink"/>
            <w:sz w:val="24"/>
            <w:szCs w:val="24"/>
          </w:rPr>
          <w:t>CHRI has been examining the trend</w:t>
        </w:r>
      </w:hyperlink>
      <w:r w:rsidR="00BB792D">
        <w:rPr>
          <w:sz w:val="24"/>
          <w:szCs w:val="24"/>
        </w:rPr>
        <w:t xml:space="preserve"> of </w:t>
      </w:r>
      <w:hyperlink r:id="rId14" w:history="1">
        <w:r w:rsidR="00BB792D" w:rsidRPr="000A07FE">
          <w:rPr>
            <w:rStyle w:val="Hyperlink"/>
            <w:sz w:val="24"/>
            <w:szCs w:val="24"/>
          </w:rPr>
          <w:t>disposal of RTI applications by PSBs</w:t>
        </w:r>
      </w:hyperlink>
      <w:r w:rsidR="00BB792D">
        <w:rPr>
          <w:sz w:val="24"/>
          <w:szCs w:val="24"/>
        </w:rPr>
        <w:t xml:space="preserve"> based on the Annual Reports of the Central Information Commission (CIC)</w:t>
      </w:r>
      <w:r w:rsidR="000A07FE">
        <w:rPr>
          <w:sz w:val="24"/>
          <w:szCs w:val="24"/>
        </w:rPr>
        <w:t>,</w:t>
      </w:r>
      <w:r>
        <w:rPr>
          <w:sz w:val="24"/>
          <w:szCs w:val="24"/>
        </w:rPr>
        <w:t xml:space="preserve"> </w:t>
      </w:r>
      <w:hyperlink r:id="rId15" w:history="1">
        <w:r w:rsidRPr="000A07FE">
          <w:rPr>
            <w:rStyle w:val="Hyperlink"/>
            <w:sz w:val="24"/>
            <w:szCs w:val="24"/>
          </w:rPr>
          <w:t>year after year</w:t>
        </w:r>
      </w:hyperlink>
      <w:r w:rsidR="00BB792D">
        <w:rPr>
          <w:sz w:val="24"/>
          <w:szCs w:val="24"/>
        </w:rPr>
        <w:t>. Official RTI statistics do not seem to show evidence of any undue burden on them as the average load factor on each branch of a PSB was less than 2 RTI applications per year. In 2014 we analysed RTI data of 20 PSBs which reported a large number of RTI applications.</w:t>
      </w:r>
    </w:p>
    <w:p w:rsidR="00BB792D" w:rsidRDefault="00BB792D" w:rsidP="00BB792D">
      <w:pPr>
        <w:spacing w:after="0" w:line="240" w:lineRule="auto"/>
        <w:jc w:val="both"/>
        <w:rPr>
          <w:sz w:val="24"/>
          <w:szCs w:val="24"/>
        </w:rPr>
      </w:pPr>
    </w:p>
    <w:p w:rsidR="00BB792D" w:rsidRDefault="00BB792D" w:rsidP="00BB792D">
      <w:pPr>
        <w:spacing w:after="0" w:line="240" w:lineRule="auto"/>
        <w:jc w:val="both"/>
        <w:rPr>
          <w:sz w:val="24"/>
          <w:szCs w:val="24"/>
        </w:rPr>
      </w:pPr>
      <w:r>
        <w:rPr>
          <w:sz w:val="24"/>
          <w:szCs w:val="24"/>
        </w:rPr>
        <w:t>This year we</w:t>
      </w:r>
      <w:r w:rsidR="000A07FE">
        <w:rPr>
          <w:sz w:val="24"/>
          <w:szCs w:val="24"/>
        </w:rPr>
        <w:t xml:space="preserve"> present</w:t>
      </w:r>
      <w:r>
        <w:rPr>
          <w:sz w:val="24"/>
          <w:szCs w:val="24"/>
        </w:rPr>
        <w:t xml:space="preserve"> our findings about the manner of disposal of RTI applications by all 26 PSBs and their regulator – the Reserve Bank of India (RBI). Our main findings are based on an analysis of the statistical data that the CIC has published in its </w:t>
      </w:r>
      <w:hyperlink r:id="rId16" w:history="1">
        <w:r>
          <w:rPr>
            <w:rStyle w:val="Hyperlink"/>
            <w:sz w:val="24"/>
            <w:szCs w:val="24"/>
          </w:rPr>
          <w:t xml:space="preserve">2016-17 Annual </w:t>
        </w:r>
        <w:r w:rsidRPr="00E23832">
          <w:rPr>
            <w:rStyle w:val="Hyperlink"/>
            <w:sz w:val="24"/>
            <w:szCs w:val="24"/>
          </w:rPr>
          <w:t>Report</w:t>
        </w:r>
      </w:hyperlink>
      <w:r>
        <w:rPr>
          <w:sz w:val="24"/>
          <w:szCs w:val="24"/>
        </w:rPr>
        <w:t xml:space="preserve"> released </w:t>
      </w:r>
      <w:r w:rsidR="004F5CE9">
        <w:rPr>
          <w:sz w:val="24"/>
          <w:szCs w:val="24"/>
        </w:rPr>
        <w:t>in March, 2018</w:t>
      </w:r>
      <w:bookmarkStart w:id="0" w:name="_GoBack"/>
      <w:bookmarkEnd w:id="0"/>
      <w:r>
        <w:rPr>
          <w:sz w:val="24"/>
          <w:szCs w:val="24"/>
        </w:rPr>
        <w:t>.</w:t>
      </w:r>
    </w:p>
    <w:p w:rsidR="00BB792D" w:rsidRDefault="00BB792D" w:rsidP="00BB792D">
      <w:pPr>
        <w:spacing w:after="0" w:line="240" w:lineRule="auto"/>
        <w:jc w:val="both"/>
        <w:rPr>
          <w:sz w:val="24"/>
          <w:szCs w:val="24"/>
        </w:rPr>
      </w:pPr>
    </w:p>
    <w:p w:rsidR="00BB792D" w:rsidRDefault="00BB792D" w:rsidP="00BB792D">
      <w:pPr>
        <w:spacing w:after="0" w:line="240" w:lineRule="auto"/>
        <w:jc w:val="both"/>
        <w:rPr>
          <w:sz w:val="24"/>
          <w:szCs w:val="24"/>
        </w:rPr>
      </w:pPr>
    </w:p>
    <w:p w:rsidR="00BB792D" w:rsidRPr="000859A5" w:rsidRDefault="00BB792D" w:rsidP="00BB792D">
      <w:pPr>
        <w:spacing w:after="0" w:line="240" w:lineRule="auto"/>
        <w:jc w:val="both"/>
        <w:rPr>
          <w:sz w:val="36"/>
          <w:szCs w:val="28"/>
        </w:rPr>
      </w:pPr>
      <w:r w:rsidRPr="000859A5">
        <w:rPr>
          <w:b/>
          <w:i/>
          <w:sz w:val="36"/>
          <w:szCs w:val="28"/>
        </w:rPr>
        <w:t>Major findings</w:t>
      </w:r>
    </w:p>
    <w:p w:rsidR="00BB792D" w:rsidRDefault="00BB792D" w:rsidP="00BB792D">
      <w:pPr>
        <w:spacing w:after="0" w:line="240" w:lineRule="auto"/>
        <w:jc w:val="both"/>
        <w:rPr>
          <w:sz w:val="24"/>
          <w:szCs w:val="24"/>
        </w:rPr>
      </w:pPr>
      <w:r>
        <w:rPr>
          <w:sz w:val="24"/>
          <w:szCs w:val="24"/>
        </w:rPr>
        <w:t>Our major findings are given below followed by the data table that has been created for this study using statistics published in the CIC’s Annual reports and banking-related statistics published by RBI from time to time. Towards the end of this report, the graphs and pie charts referred to in the paragraphs below are attached. (The data tables may be accessed by right clicking the mouse button after placing it on the selected graph or pie chart.)</w:t>
      </w:r>
      <w:r w:rsidR="002B71C3">
        <w:rPr>
          <w:sz w:val="24"/>
          <w:szCs w:val="24"/>
        </w:rPr>
        <w:t xml:space="preserve"> We have grouped our major findings under the following categories:</w:t>
      </w:r>
    </w:p>
    <w:p w:rsidR="002B71C3" w:rsidRDefault="002B71C3" w:rsidP="00BB792D">
      <w:pPr>
        <w:spacing w:after="0" w:line="240" w:lineRule="auto"/>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5580"/>
        <w:gridCol w:w="6975"/>
      </w:tblGrid>
      <w:tr w:rsidR="002B71C3" w:rsidRPr="002B71C3" w:rsidTr="004B530F">
        <w:tc>
          <w:tcPr>
            <w:tcW w:w="6655" w:type="dxa"/>
          </w:tcPr>
          <w:p w:rsidR="002B71C3" w:rsidRPr="002B71C3" w:rsidRDefault="002B71C3" w:rsidP="004B530F">
            <w:pPr>
              <w:spacing w:before="60" w:after="60" w:line="240" w:lineRule="auto"/>
              <w:ind w:left="360" w:hanging="360"/>
              <w:jc w:val="both"/>
              <w:rPr>
                <w:sz w:val="24"/>
                <w:szCs w:val="24"/>
              </w:rPr>
            </w:pPr>
            <w:r w:rsidRPr="002B71C3">
              <w:rPr>
                <w:sz w:val="24"/>
                <w:szCs w:val="24"/>
              </w:rPr>
              <w:t>I. Trends in the receipt of RTI applications</w:t>
            </w:r>
          </w:p>
        </w:tc>
        <w:tc>
          <w:tcPr>
            <w:tcW w:w="5580" w:type="dxa"/>
          </w:tcPr>
          <w:p w:rsidR="002B71C3" w:rsidRPr="002B71C3" w:rsidRDefault="002B71C3" w:rsidP="004B530F">
            <w:pPr>
              <w:pStyle w:val="ListParagraph"/>
              <w:numPr>
                <w:ilvl w:val="0"/>
                <w:numId w:val="10"/>
              </w:numPr>
              <w:spacing w:before="60" w:after="60" w:line="240" w:lineRule="auto"/>
              <w:ind w:left="360" w:hanging="360"/>
              <w:contextualSpacing w:val="0"/>
              <w:jc w:val="both"/>
              <w:rPr>
                <w:sz w:val="24"/>
                <w:szCs w:val="24"/>
              </w:rPr>
            </w:pPr>
            <w:r w:rsidRPr="002B71C3">
              <w:rPr>
                <w:sz w:val="24"/>
                <w:szCs w:val="24"/>
              </w:rPr>
              <w:t xml:space="preserve">Average load factor of RTI applications </w:t>
            </w:r>
            <w:r w:rsidR="004B530F">
              <w:rPr>
                <w:sz w:val="24"/>
                <w:szCs w:val="24"/>
              </w:rPr>
              <w:t>i</w:t>
            </w:r>
            <w:r w:rsidRPr="002B71C3">
              <w:rPr>
                <w:sz w:val="24"/>
                <w:szCs w:val="24"/>
              </w:rPr>
              <w:t>n PSBs</w:t>
            </w:r>
          </w:p>
        </w:tc>
        <w:tc>
          <w:tcPr>
            <w:tcW w:w="6975" w:type="dxa"/>
          </w:tcPr>
          <w:p w:rsidR="002B71C3" w:rsidRPr="00CB0780" w:rsidRDefault="00CB0780" w:rsidP="004B530F">
            <w:pPr>
              <w:pStyle w:val="ListParagraph"/>
              <w:numPr>
                <w:ilvl w:val="0"/>
                <w:numId w:val="10"/>
              </w:numPr>
              <w:spacing w:before="60" w:after="60" w:line="240" w:lineRule="auto"/>
              <w:ind w:left="342" w:hanging="342"/>
              <w:contextualSpacing w:val="0"/>
              <w:jc w:val="both"/>
              <w:rPr>
                <w:sz w:val="24"/>
                <w:szCs w:val="24"/>
              </w:rPr>
            </w:pPr>
            <w:r w:rsidRPr="00CB0780">
              <w:rPr>
                <w:sz w:val="24"/>
                <w:szCs w:val="24"/>
              </w:rPr>
              <w:t>Trends in t</w:t>
            </w:r>
            <w:r w:rsidR="004B530F">
              <w:rPr>
                <w:sz w:val="24"/>
                <w:szCs w:val="24"/>
              </w:rPr>
              <w:t>he disposal of RTI applications</w:t>
            </w:r>
          </w:p>
        </w:tc>
      </w:tr>
      <w:tr w:rsidR="002B71C3" w:rsidRPr="002B71C3" w:rsidTr="004B530F">
        <w:tc>
          <w:tcPr>
            <w:tcW w:w="6655" w:type="dxa"/>
          </w:tcPr>
          <w:p w:rsidR="002B71C3" w:rsidRPr="002B71C3" w:rsidRDefault="00CB0780" w:rsidP="005F6929">
            <w:pPr>
              <w:spacing w:before="60" w:after="60" w:line="240" w:lineRule="auto"/>
              <w:ind w:left="360" w:hanging="360"/>
              <w:jc w:val="both"/>
              <w:rPr>
                <w:sz w:val="24"/>
                <w:szCs w:val="24"/>
              </w:rPr>
            </w:pPr>
            <w:r w:rsidRPr="00CB0780">
              <w:rPr>
                <w:sz w:val="24"/>
                <w:szCs w:val="24"/>
              </w:rPr>
              <w:t xml:space="preserve">IV. The </w:t>
            </w:r>
            <w:r w:rsidR="005F6929">
              <w:rPr>
                <w:sz w:val="24"/>
                <w:szCs w:val="24"/>
              </w:rPr>
              <w:t xml:space="preserve">use of certain exemptions in a </w:t>
            </w:r>
            <w:r w:rsidRPr="00CB0780">
              <w:rPr>
                <w:sz w:val="24"/>
                <w:szCs w:val="24"/>
              </w:rPr>
              <w:t xml:space="preserve">questionable manner </w:t>
            </w:r>
          </w:p>
        </w:tc>
        <w:tc>
          <w:tcPr>
            <w:tcW w:w="5580" w:type="dxa"/>
          </w:tcPr>
          <w:p w:rsidR="002B71C3" w:rsidRPr="00CB0780" w:rsidRDefault="00CB0780" w:rsidP="004B530F">
            <w:pPr>
              <w:spacing w:before="60" w:after="60" w:line="240" w:lineRule="auto"/>
              <w:ind w:left="360" w:hanging="360"/>
              <w:jc w:val="both"/>
              <w:rPr>
                <w:sz w:val="24"/>
                <w:szCs w:val="24"/>
              </w:rPr>
            </w:pPr>
            <w:r w:rsidRPr="00CB0780">
              <w:rPr>
                <w:sz w:val="24"/>
                <w:szCs w:val="24"/>
              </w:rPr>
              <w:t>V. Trends in the Banks’ use of legitimate exemptions</w:t>
            </w:r>
          </w:p>
        </w:tc>
        <w:tc>
          <w:tcPr>
            <w:tcW w:w="6975" w:type="dxa"/>
          </w:tcPr>
          <w:p w:rsidR="002B71C3" w:rsidRPr="002B71C3" w:rsidRDefault="004B530F" w:rsidP="004B530F">
            <w:pPr>
              <w:spacing w:before="60" w:after="60" w:line="240" w:lineRule="auto"/>
              <w:ind w:left="342" w:hanging="360"/>
              <w:jc w:val="both"/>
              <w:rPr>
                <w:sz w:val="24"/>
                <w:szCs w:val="24"/>
              </w:rPr>
            </w:pPr>
            <w:r>
              <w:rPr>
                <w:sz w:val="24"/>
                <w:szCs w:val="24"/>
              </w:rPr>
              <w:t>VI. RTI versus NPAs</w:t>
            </w:r>
          </w:p>
        </w:tc>
      </w:tr>
    </w:tbl>
    <w:p w:rsidR="00BB792D" w:rsidRPr="000859A5" w:rsidRDefault="00BB792D" w:rsidP="00BB792D">
      <w:pPr>
        <w:spacing w:after="0" w:line="240" w:lineRule="auto"/>
        <w:jc w:val="both"/>
        <w:rPr>
          <w:i/>
          <w:sz w:val="28"/>
          <w:szCs w:val="24"/>
        </w:rPr>
      </w:pPr>
    </w:p>
    <w:p w:rsidR="00BB792D" w:rsidRPr="000859A5" w:rsidRDefault="000859A5" w:rsidP="000859A5">
      <w:pPr>
        <w:spacing w:after="0" w:line="240" w:lineRule="auto"/>
        <w:ind w:left="360" w:hanging="360"/>
        <w:jc w:val="both"/>
        <w:rPr>
          <w:b/>
          <w:sz w:val="24"/>
          <w:szCs w:val="24"/>
        </w:rPr>
      </w:pPr>
      <w:r w:rsidRPr="000859A5">
        <w:rPr>
          <w:b/>
          <w:i/>
          <w:sz w:val="28"/>
          <w:szCs w:val="24"/>
        </w:rPr>
        <w:t xml:space="preserve">I. </w:t>
      </w:r>
      <w:r w:rsidR="00BB792D" w:rsidRPr="000859A5">
        <w:rPr>
          <w:b/>
          <w:i/>
          <w:sz w:val="28"/>
          <w:szCs w:val="24"/>
          <w:u w:val="single"/>
        </w:rPr>
        <w:t>Trends in the receipt of RTI applications</w:t>
      </w:r>
      <w:r w:rsidR="00BB792D" w:rsidRPr="000859A5">
        <w:rPr>
          <w:b/>
          <w:i/>
          <w:sz w:val="28"/>
          <w:szCs w:val="24"/>
        </w:rPr>
        <w:t>:</w:t>
      </w:r>
    </w:p>
    <w:p w:rsidR="00BB792D" w:rsidRDefault="00BB792D" w:rsidP="00BB792D">
      <w:pPr>
        <w:spacing w:after="0" w:line="240" w:lineRule="auto"/>
        <w:jc w:val="both"/>
        <w:rPr>
          <w:sz w:val="24"/>
          <w:szCs w:val="24"/>
        </w:rPr>
      </w:pPr>
      <w:r>
        <w:rPr>
          <w:sz w:val="24"/>
          <w:szCs w:val="24"/>
        </w:rPr>
        <w:t>In this segment the number of RTI applications received by PSBs in 2016-17 have been analysed in comparison with similar data reported the previous year:</w:t>
      </w:r>
    </w:p>
    <w:p w:rsidR="00BB792D" w:rsidRPr="005D7CA4" w:rsidRDefault="00BB792D" w:rsidP="00BB792D">
      <w:pPr>
        <w:spacing w:after="0" w:line="240" w:lineRule="auto"/>
        <w:jc w:val="both"/>
        <w:rPr>
          <w:sz w:val="24"/>
          <w:szCs w:val="24"/>
        </w:rPr>
      </w:pPr>
    </w:p>
    <w:p w:rsidR="00BB792D" w:rsidRDefault="00BB792D" w:rsidP="00BB792D">
      <w:pPr>
        <w:pStyle w:val="ListParagraph"/>
        <w:numPr>
          <w:ilvl w:val="0"/>
          <w:numId w:val="2"/>
        </w:numPr>
        <w:spacing w:after="0" w:line="240" w:lineRule="auto"/>
        <w:ind w:left="360"/>
        <w:jc w:val="both"/>
        <w:rPr>
          <w:sz w:val="24"/>
          <w:szCs w:val="24"/>
        </w:rPr>
      </w:pPr>
      <w:r>
        <w:rPr>
          <w:b/>
          <w:sz w:val="24"/>
          <w:szCs w:val="24"/>
        </w:rPr>
        <w:t>25 PS</w:t>
      </w:r>
      <w:r w:rsidRPr="009A4226">
        <w:rPr>
          <w:b/>
          <w:sz w:val="24"/>
          <w:szCs w:val="24"/>
        </w:rPr>
        <w:t>Bs received more than 73,000 RTI applications</w:t>
      </w:r>
      <w:r>
        <w:rPr>
          <w:sz w:val="24"/>
          <w:szCs w:val="24"/>
        </w:rPr>
        <w:t xml:space="preserve"> in 2016-17 (See Table below: only fresh receipts are included in this figure after deducting the backlog pending from the previous reporting year). </w:t>
      </w:r>
      <w:r w:rsidRPr="009A4226">
        <w:rPr>
          <w:b/>
          <w:sz w:val="24"/>
          <w:szCs w:val="24"/>
        </w:rPr>
        <w:t>This is a dip of almost 4% (3.92%)</w:t>
      </w:r>
      <w:r>
        <w:rPr>
          <w:sz w:val="24"/>
          <w:szCs w:val="24"/>
        </w:rPr>
        <w:t xml:space="preserve"> over the previous year. In 2015-16 PSBs reported receiving more than 76,000 RTI applications. However, Central Bank of India which accounts for 3,000 - 3,500 RTI applications per year did not report its statistics to the CIC in 2016-17. </w:t>
      </w:r>
      <w:r w:rsidRPr="00C06720">
        <w:rPr>
          <w:sz w:val="24"/>
          <w:szCs w:val="24"/>
          <w:u w:val="single"/>
        </w:rPr>
        <w:t xml:space="preserve">Had their RTI figures been available, the total might have been in the same range as </w:t>
      </w:r>
      <w:r>
        <w:rPr>
          <w:sz w:val="24"/>
          <w:szCs w:val="24"/>
          <w:u w:val="single"/>
        </w:rPr>
        <w:t xml:space="preserve">that </w:t>
      </w:r>
      <w:r w:rsidRPr="00C06720">
        <w:rPr>
          <w:sz w:val="24"/>
          <w:szCs w:val="24"/>
          <w:u w:val="single"/>
        </w:rPr>
        <w:t>reported in 2015-16</w:t>
      </w:r>
      <w:r>
        <w:rPr>
          <w:sz w:val="24"/>
          <w:szCs w:val="24"/>
        </w:rPr>
        <w:t xml:space="preserve">. In comparison, the overall RTI numbers for the Government of India (1,965 public authorities including PSBs) witnessed </w:t>
      </w:r>
      <w:hyperlink r:id="rId17" w:history="1">
        <w:r w:rsidRPr="00A209B1">
          <w:rPr>
            <w:rStyle w:val="Hyperlink"/>
            <w:sz w:val="24"/>
            <w:szCs w:val="24"/>
          </w:rPr>
          <w:t>a dip of 6%</w:t>
        </w:r>
      </w:hyperlink>
      <w:r>
        <w:rPr>
          <w:sz w:val="24"/>
          <w:szCs w:val="24"/>
        </w:rPr>
        <w:t xml:space="preserve"> as compared to the figures reported in 2015-16; </w:t>
      </w:r>
    </w:p>
    <w:p w:rsidR="00BB792D" w:rsidRDefault="00BB792D" w:rsidP="00BB792D">
      <w:pPr>
        <w:pStyle w:val="ListParagraph"/>
        <w:spacing w:after="0" w:line="240" w:lineRule="auto"/>
        <w:ind w:left="360"/>
        <w:jc w:val="both"/>
        <w:rPr>
          <w:sz w:val="24"/>
          <w:szCs w:val="24"/>
        </w:rPr>
      </w:pPr>
    </w:p>
    <w:p w:rsidR="00BB792D" w:rsidRDefault="00BB792D" w:rsidP="00BB792D">
      <w:pPr>
        <w:pStyle w:val="ListParagraph"/>
        <w:numPr>
          <w:ilvl w:val="0"/>
          <w:numId w:val="2"/>
        </w:numPr>
        <w:spacing w:after="0" w:line="240" w:lineRule="auto"/>
        <w:ind w:left="360"/>
        <w:jc w:val="both"/>
        <w:rPr>
          <w:sz w:val="24"/>
          <w:szCs w:val="24"/>
        </w:rPr>
      </w:pPr>
      <w:r w:rsidRPr="007E7E7C">
        <w:rPr>
          <w:b/>
          <w:sz w:val="24"/>
          <w:szCs w:val="24"/>
        </w:rPr>
        <w:lastRenderedPageBreak/>
        <w:t>RBI reported receiving more than 13,000 RTI applications in 2016-17</w:t>
      </w:r>
      <w:r>
        <w:rPr>
          <w:b/>
          <w:sz w:val="24"/>
          <w:szCs w:val="24"/>
        </w:rPr>
        <w:t xml:space="preserve"> – an increase of more than 14% over the previous year</w:t>
      </w:r>
      <w:r>
        <w:rPr>
          <w:sz w:val="24"/>
          <w:szCs w:val="24"/>
        </w:rPr>
        <w:t xml:space="preserve"> (see Table below). Perhaps some of these RTI applications including several submitted by this author sought information about the demonetisation exercise launched by the NDA Government in November 2016;</w:t>
      </w:r>
    </w:p>
    <w:p w:rsidR="00BB792D" w:rsidRDefault="00BB792D" w:rsidP="00BB792D">
      <w:pPr>
        <w:pStyle w:val="ListParagraph"/>
        <w:spacing w:after="0" w:line="240" w:lineRule="auto"/>
        <w:ind w:left="360"/>
        <w:jc w:val="both"/>
        <w:rPr>
          <w:sz w:val="24"/>
          <w:szCs w:val="24"/>
        </w:rPr>
      </w:pPr>
    </w:p>
    <w:p w:rsidR="00BB792D" w:rsidRDefault="00BB792D" w:rsidP="00BB792D">
      <w:pPr>
        <w:pStyle w:val="ListParagraph"/>
        <w:numPr>
          <w:ilvl w:val="0"/>
          <w:numId w:val="2"/>
        </w:numPr>
        <w:spacing w:after="0" w:line="240" w:lineRule="auto"/>
        <w:ind w:left="360"/>
        <w:jc w:val="both"/>
        <w:rPr>
          <w:sz w:val="24"/>
          <w:szCs w:val="24"/>
        </w:rPr>
      </w:pPr>
      <w:r w:rsidRPr="00AA6B3E">
        <w:rPr>
          <w:b/>
          <w:sz w:val="24"/>
          <w:szCs w:val="24"/>
        </w:rPr>
        <w:t>25 PSBs and RBI account for more than half of the RTI applications (57.33</w:t>
      </w:r>
      <w:r w:rsidRPr="00271242">
        <w:rPr>
          <w:sz w:val="24"/>
          <w:szCs w:val="24"/>
        </w:rPr>
        <w:t>%) reported by the Union Ministry of Finance which is their nodal ministry</w:t>
      </w:r>
      <w:r>
        <w:rPr>
          <w:sz w:val="24"/>
          <w:szCs w:val="24"/>
        </w:rPr>
        <w:t xml:space="preserve">. In 2015-16, PSBs accounted for less than half (48%) of the RTI applications that the Ministry reported. Nevertheless, the overall number of RTI applications reported by the Finance Ministry remains in the range of 1.5 lakhs (151,186) in 2016-17. </w:t>
      </w:r>
      <w:r w:rsidRPr="00997919">
        <w:rPr>
          <w:b/>
          <w:sz w:val="24"/>
          <w:szCs w:val="24"/>
        </w:rPr>
        <w:t xml:space="preserve">15 </w:t>
      </w:r>
      <w:r>
        <w:rPr>
          <w:b/>
          <w:sz w:val="24"/>
          <w:szCs w:val="24"/>
        </w:rPr>
        <w:t>Banks (including RBI)</w:t>
      </w:r>
      <w:r w:rsidRPr="00997919">
        <w:rPr>
          <w:b/>
          <w:sz w:val="24"/>
          <w:szCs w:val="24"/>
        </w:rPr>
        <w:t xml:space="preserve"> reported an increase in the number of RTI applications</w:t>
      </w:r>
      <w:r>
        <w:rPr>
          <w:sz w:val="24"/>
          <w:szCs w:val="24"/>
        </w:rPr>
        <w:t xml:space="preserve"> as compared to the previous year (see Table and Graph 1.2 below). </w:t>
      </w:r>
      <w:r w:rsidRPr="00271242">
        <w:rPr>
          <w:b/>
          <w:sz w:val="24"/>
          <w:szCs w:val="24"/>
        </w:rPr>
        <w:t>So</w:t>
      </w:r>
      <w:r>
        <w:rPr>
          <w:b/>
          <w:sz w:val="24"/>
          <w:szCs w:val="24"/>
        </w:rPr>
        <w:t>,</w:t>
      </w:r>
      <w:r w:rsidRPr="00271242">
        <w:rPr>
          <w:b/>
          <w:sz w:val="24"/>
          <w:szCs w:val="24"/>
        </w:rPr>
        <w:t xml:space="preserve"> </w:t>
      </w:r>
      <w:r>
        <w:rPr>
          <w:b/>
          <w:sz w:val="24"/>
          <w:szCs w:val="24"/>
        </w:rPr>
        <w:t xml:space="preserve">in 2016-17, </w:t>
      </w:r>
      <w:r w:rsidRPr="00271242">
        <w:rPr>
          <w:b/>
          <w:sz w:val="24"/>
          <w:szCs w:val="24"/>
        </w:rPr>
        <w:t>more people sought information from banks as compared to other public authorities under the Finance Ministry</w:t>
      </w:r>
      <w:r>
        <w:rPr>
          <w:sz w:val="24"/>
          <w:szCs w:val="24"/>
        </w:rPr>
        <w:t>;</w:t>
      </w:r>
    </w:p>
    <w:p w:rsidR="00BB792D" w:rsidRPr="00371876" w:rsidRDefault="00BB792D" w:rsidP="00BB792D">
      <w:pPr>
        <w:pStyle w:val="ListParagraph"/>
        <w:rPr>
          <w:sz w:val="24"/>
          <w:szCs w:val="24"/>
        </w:rPr>
      </w:pPr>
    </w:p>
    <w:p w:rsidR="00BB792D" w:rsidRDefault="00BB792D" w:rsidP="00BB792D">
      <w:pPr>
        <w:pStyle w:val="ListParagraph"/>
        <w:numPr>
          <w:ilvl w:val="0"/>
          <w:numId w:val="2"/>
        </w:numPr>
        <w:spacing w:after="0" w:line="240" w:lineRule="auto"/>
        <w:ind w:left="360"/>
        <w:jc w:val="both"/>
        <w:rPr>
          <w:sz w:val="24"/>
          <w:szCs w:val="24"/>
        </w:rPr>
      </w:pPr>
      <w:r>
        <w:rPr>
          <w:b/>
          <w:sz w:val="24"/>
          <w:szCs w:val="24"/>
        </w:rPr>
        <w:t>W</w:t>
      </w:r>
      <w:r w:rsidRPr="006A3252">
        <w:rPr>
          <w:b/>
          <w:sz w:val="24"/>
          <w:szCs w:val="24"/>
        </w:rPr>
        <w:t xml:space="preserve">ith more than 25,300 RTI applications received, </w:t>
      </w:r>
      <w:r>
        <w:rPr>
          <w:b/>
          <w:sz w:val="24"/>
          <w:szCs w:val="24"/>
        </w:rPr>
        <w:t>once again the</w:t>
      </w:r>
      <w:r w:rsidRPr="006A3252">
        <w:rPr>
          <w:sz w:val="24"/>
          <w:szCs w:val="24"/>
        </w:rPr>
        <w:t xml:space="preserve"> </w:t>
      </w:r>
      <w:r w:rsidRPr="006A3252">
        <w:rPr>
          <w:b/>
          <w:sz w:val="24"/>
          <w:szCs w:val="24"/>
        </w:rPr>
        <w:t xml:space="preserve">State Bank of India (SBI) was the </w:t>
      </w:r>
      <w:r>
        <w:rPr>
          <w:b/>
          <w:sz w:val="24"/>
          <w:szCs w:val="24"/>
        </w:rPr>
        <w:t>biggest</w:t>
      </w:r>
      <w:r w:rsidRPr="006A3252">
        <w:rPr>
          <w:b/>
          <w:sz w:val="24"/>
          <w:szCs w:val="24"/>
        </w:rPr>
        <w:t xml:space="preserve"> grosser, accounting for more than a third (33.20%)</w:t>
      </w:r>
      <w:r w:rsidRPr="006A3252">
        <w:rPr>
          <w:sz w:val="24"/>
          <w:szCs w:val="24"/>
        </w:rPr>
        <w:t xml:space="preserve"> of the total number of RTI applications received </w:t>
      </w:r>
      <w:r>
        <w:rPr>
          <w:sz w:val="24"/>
          <w:szCs w:val="24"/>
        </w:rPr>
        <w:t xml:space="preserve">by PSBs </w:t>
      </w:r>
      <w:r w:rsidRPr="006A3252">
        <w:rPr>
          <w:sz w:val="24"/>
          <w:szCs w:val="24"/>
        </w:rPr>
        <w:t>in 2016-17 (see Table and Graphs 1.1 &amp; 1.2 below)</w:t>
      </w:r>
      <w:r>
        <w:rPr>
          <w:sz w:val="24"/>
          <w:szCs w:val="24"/>
        </w:rPr>
        <w:t>.</w:t>
      </w:r>
      <w:r w:rsidRPr="006A3252">
        <w:rPr>
          <w:sz w:val="24"/>
          <w:szCs w:val="24"/>
        </w:rPr>
        <w:t xml:space="preserve"> </w:t>
      </w:r>
      <w:r w:rsidRPr="006A3252">
        <w:rPr>
          <w:b/>
          <w:sz w:val="24"/>
          <w:szCs w:val="24"/>
        </w:rPr>
        <w:t>Of the remaining PSBs, Punjab National Bank (7,715), Bank of Baroda (4,809), Bank of India (4,295) and Canara Bank (3,918) claimed the next top 4 positions</w:t>
      </w:r>
      <w:r w:rsidRPr="006A3252">
        <w:rPr>
          <w:sz w:val="24"/>
          <w:szCs w:val="24"/>
        </w:rPr>
        <w:t xml:space="preserve"> reporting the largest number of RTI applications (see Table and Graph 1.1 below)</w:t>
      </w:r>
      <w:r>
        <w:rPr>
          <w:sz w:val="24"/>
          <w:szCs w:val="24"/>
        </w:rPr>
        <w:t>;</w:t>
      </w:r>
      <w:r w:rsidRPr="006A3252">
        <w:rPr>
          <w:sz w:val="24"/>
          <w:szCs w:val="24"/>
        </w:rPr>
        <w:t xml:space="preserve"> </w:t>
      </w:r>
    </w:p>
    <w:p w:rsidR="00BB792D" w:rsidRPr="006A3252" w:rsidRDefault="00BB792D" w:rsidP="00BB792D">
      <w:pPr>
        <w:pStyle w:val="ListParagraph"/>
        <w:rPr>
          <w:sz w:val="24"/>
          <w:szCs w:val="24"/>
        </w:rPr>
      </w:pPr>
    </w:p>
    <w:p w:rsidR="00BB792D" w:rsidRDefault="00BB792D" w:rsidP="00BB792D">
      <w:pPr>
        <w:pStyle w:val="ListParagraph"/>
        <w:numPr>
          <w:ilvl w:val="0"/>
          <w:numId w:val="2"/>
        </w:numPr>
        <w:spacing w:after="0" w:line="240" w:lineRule="auto"/>
        <w:ind w:left="360"/>
        <w:jc w:val="both"/>
        <w:rPr>
          <w:sz w:val="24"/>
          <w:szCs w:val="24"/>
        </w:rPr>
      </w:pPr>
      <w:r w:rsidRPr="006A3252">
        <w:rPr>
          <w:sz w:val="24"/>
          <w:szCs w:val="24"/>
        </w:rPr>
        <w:t>In th</w:t>
      </w:r>
      <w:r>
        <w:rPr>
          <w:sz w:val="24"/>
          <w:szCs w:val="24"/>
        </w:rPr>
        <w:t>e top-5</w:t>
      </w:r>
      <w:r w:rsidRPr="006A3252">
        <w:rPr>
          <w:sz w:val="24"/>
          <w:szCs w:val="24"/>
        </w:rPr>
        <w:t xml:space="preserve"> category, </w:t>
      </w:r>
      <w:r w:rsidRPr="006A3252">
        <w:rPr>
          <w:b/>
          <w:sz w:val="24"/>
          <w:szCs w:val="24"/>
        </w:rPr>
        <w:t>Canara Bank reported the biggest increase of 36.56%</w:t>
      </w:r>
      <w:r w:rsidRPr="006A3252">
        <w:rPr>
          <w:sz w:val="24"/>
          <w:szCs w:val="24"/>
        </w:rPr>
        <w:t xml:space="preserve"> while </w:t>
      </w:r>
      <w:r w:rsidRPr="00B27071">
        <w:rPr>
          <w:b/>
          <w:sz w:val="24"/>
          <w:szCs w:val="24"/>
        </w:rPr>
        <w:t>Bank of India reported a rise of 9.43%</w:t>
      </w:r>
      <w:r w:rsidRPr="006A3252">
        <w:rPr>
          <w:sz w:val="24"/>
          <w:szCs w:val="24"/>
        </w:rPr>
        <w:t xml:space="preserve"> as compared to the previous year (2015-16). The </w:t>
      </w:r>
      <w:r>
        <w:rPr>
          <w:sz w:val="24"/>
          <w:szCs w:val="24"/>
        </w:rPr>
        <w:t xml:space="preserve">remaining top-grossers reported a drop in the number of RTI applications received (see Table and Graph 1.2 below); </w:t>
      </w:r>
    </w:p>
    <w:p w:rsidR="005630AD" w:rsidRPr="005630AD" w:rsidRDefault="005630AD" w:rsidP="005630AD">
      <w:pPr>
        <w:spacing w:after="0" w:line="240" w:lineRule="auto"/>
        <w:jc w:val="both"/>
        <w:rPr>
          <w:sz w:val="24"/>
          <w:szCs w:val="24"/>
        </w:rPr>
      </w:pPr>
    </w:p>
    <w:p w:rsidR="00BB792D" w:rsidRDefault="00BB792D" w:rsidP="00BB792D">
      <w:pPr>
        <w:pStyle w:val="ListParagraph"/>
        <w:numPr>
          <w:ilvl w:val="0"/>
          <w:numId w:val="2"/>
        </w:numPr>
        <w:spacing w:after="0" w:line="240" w:lineRule="auto"/>
        <w:ind w:left="360"/>
        <w:jc w:val="both"/>
        <w:rPr>
          <w:sz w:val="24"/>
          <w:szCs w:val="24"/>
        </w:rPr>
      </w:pPr>
      <w:r>
        <w:rPr>
          <w:b/>
          <w:sz w:val="24"/>
          <w:szCs w:val="24"/>
        </w:rPr>
        <w:t>11 of</w:t>
      </w:r>
      <w:r w:rsidRPr="00B27071">
        <w:rPr>
          <w:b/>
          <w:sz w:val="24"/>
          <w:szCs w:val="24"/>
        </w:rPr>
        <w:t xml:space="preserve"> 25 PSBs reported a fall in the number of RTI applications received in 2016-17 as compared to the previous year</w:t>
      </w:r>
      <w:r w:rsidRPr="00B27071">
        <w:rPr>
          <w:sz w:val="24"/>
          <w:szCs w:val="24"/>
        </w:rPr>
        <w:t xml:space="preserve">. </w:t>
      </w:r>
      <w:r w:rsidRPr="00B27071">
        <w:rPr>
          <w:b/>
          <w:sz w:val="24"/>
          <w:szCs w:val="24"/>
        </w:rPr>
        <w:t>Two PSBs</w:t>
      </w:r>
      <w:r w:rsidRPr="00B27071">
        <w:rPr>
          <w:sz w:val="24"/>
          <w:szCs w:val="24"/>
        </w:rPr>
        <w:t xml:space="preserve"> reported a </w:t>
      </w:r>
      <w:r w:rsidRPr="00B27071">
        <w:rPr>
          <w:b/>
          <w:sz w:val="24"/>
          <w:szCs w:val="24"/>
        </w:rPr>
        <w:t>fall of more than 50%, namely, Union Bank of India (58.25%) and State Bank of Hyderabad</w:t>
      </w:r>
      <w:r>
        <w:rPr>
          <w:b/>
          <w:sz w:val="24"/>
          <w:szCs w:val="24"/>
        </w:rPr>
        <w:t xml:space="preserve"> (52.11%).</w:t>
      </w:r>
      <w:r w:rsidRPr="00B27071">
        <w:rPr>
          <w:b/>
          <w:sz w:val="24"/>
          <w:szCs w:val="24"/>
        </w:rPr>
        <w:t xml:space="preserve"> State Bank of Travancore and Oriental Bank of Commerce reported a dip of 36-37% in the number of RTI applications received </w:t>
      </w:r>
      <w:r w:rsidRPr="00B27071">
        <w:rPr>
          <w:sz w:val="24"/>
          <w:szCs w:val="24"/>
        </w:rPr>
        <w:t xml:space="preserve">(see Table and Graph 1.2 below). </w:t>
      </w:r>
      <w:r w:rsidRPr="00B27071">
        <w:rPr>
          <w:b/>
          <w:sz w:val="24"/>
          <w:szCs w:val="24"/>
        </w:rPr>
        <w:t xml:space="preserve">In the top-5 </w:t>
      </w:r>
      <w:r>
        <w:rPr>
          <w:b/>
          <w:sz w:val="24"/>
          <w:szCs w:val="24"/>
        </w:rPr>
        <w:t xml:space="preserve">biggest </w:t>
      </w:r>
      <w:r w:rsidRPr="00B27071">
        <w:rPr>
          <w:b/>
          <w:sz w:val="24"/>
          <w:szCs w:val="24"/>
        </w:rPr>
        <w:t>grossers category, Punjab National Bank and Bank of Baroda reported a drop of more than 5% each, while State Bank of India reported a drop of 0.10%</w:t>
      </w:r>
      <w:r w:rsidRPr="00B27071">
        <w:rPr>
          <w:sz w:val="24"/>
          <w:szCs w:val="24"/>
        </w:rPr>
        <w:t xml:space="preserve"> in the number of RTI applications received as compared to the previous year (see Table and Graph 1.2 below); </w:t>
      </w:r>
    </w:p>
    <w:p w:rsidR="00BB792D" w:rsidRDefault="00BB792D" w:rsidP="00BB792D">
      <w:pPr>
        <w:pStyle w:val="ListParagraph"/>
        <w:spacing w:after="0" w:line="240" w:lineRule="auto"/>
        <w:ind w:left="360"/>
        <w:jc w:val="both"/>
        <w:rPr>
          <w:sz w:val="24"/>
          <w:szCs w:val="24"/>
        </w:rPr>
      </w:pPr>
    </w:p>
    <w:p w:rsidR="00BB792D" w:rsidRDefault="00BB792D" w:rsidP="00BB792D">
      <w:pPr>
        <w:pStyle w:val="ListParagraph"/>
        <w:numPr>
          <w:ilvl w:val="0"/>
          <w:numId w:val="2"/>
        </w:numPr>
        <w:spacing w:after="0" w:line="240" w:lineRule="auto"/>
        <w:ind w:left="360"/>
        <w:jc w:val="both"/>
        <w:rPr>
          <w:sz w:val="24"/>
          <w:szCs w:val="24"/>
        </w:rPr>
      </w:pPr>
      <w:r>
        <w:rPr>
          <w:sz w:val="24"/>
          <w:szCs w:val="24"/>
        </w:rPr>
        <w:t xml:space="preserve">Among PSBs reporting a huge spike in the number of RTI applications received in 2016-17 as compared to the previous year (even though they are not top grossers), </w:t>
      </w:r>
      <w:r w:rsidRPr="00C10CB9">
        <w:rPr>
          <w:b/>
          <w:sz w:val="24"/>
          <w:szCs w:val="24"/>
        </w:rPr>
        <w:t>United Bank of India reported more than 600%</w:t>
      </w:r>
      <w:r>
        <w:rPr>
          <w:sz w:val="24"/>
          <w:szCs w:val="24"/>
        </w:rPr>
        <w:t xml:space="preserve"> increase followed by </w:t>
      </w:r>
      <w:r w:rsidRPr="00C10CB9">
        <w:rPr>
          <w:b/>
          <w:sz w:val="24"/>
          <w:szCs w:val="24"/>
        </w:rPr>
        <w:t>UCO Bank with an increase of more than 112%</w:t>
      </w:r>
      <w:r>
        <w:rPr>
          <w:sz w:val="24"/>
          <w:szCs w:val="24"/>
        </w:rPr>
        <w:t xml:space="preserve"> - the highest proportion of increase among 25 PSBs</w:t>
      </w:r>
      <w:r w:rsidRPr="00C10CB9">
        <w:rPr>
          <w:b/>
          <w:sz w:val="24"/>
          <w:szCs w:val="24"/>
        </w:rPr>
        <w:t>.</w:t>
      </w:r>
      <w:r>
        <w:rPr>
          <w:sz w:val="24"/>
          <w:szCs w:val="24"/>
        </w:rPr>
        <w:t xml:space="preserve"> Interestingly, </w:t>
      </w:r>
      <w:hyperlink r:id="rId18" w:history="1">
        <w:r w:rsidRPr="00C10CB9">
          <w:rPr>
            <w:rStyle w:val="Hyperlink"/>
            <w:sz w:val="24"/>
            <w:szCs w:val="24"/>
          </w:rPr>
          <w:t>UCO Bank is said to have failed to recover even a paisa from the bad loans written off</w:t>
        </w:r>
      </w:hyperlink>
      <w:r>
        <w:rPr>
          <w:sz w:val="24"/>
          <w:szCs w:val="24"/>
        </w:rPr>
        <w:t xml:space="preserve"> during 2014-18 (data as of December 2017 (see Table and Graph 1.2 below);</w:t>
      </w:r>
    </w:p>
    <w:p w:rsidR="00BB792D" w:rsidRPr="006A3252" w:rsidRDefault="00BB792D" w:rsidP="00BB792D">
      <w:pPr>
        <w:pStyle w:val="ListParagraph"/>
        <w:rPr>
          <w:sz w:val="24"/>
          <w:szCs w:val="24"/>
        </w:rPr>
      </w:pPr>
    </w:p>
    <w:p w:rsidR="00BB792D" w:rsidRDefault="00BB792D" w:rsidP="00BB792D">
      <w:pPr>
        <w:pStyle w:val="ListParagraph"/>
        <w:numPr>
          <w:ilvl w:val="0"/>
          <w:numId w:val="2"/>
        </w:numPr>
        <w:spacing w:after="0" w:line="240" w:lineRule="auto"/>
        <w:ind w:left="360"/>
        <w:jc w:val="both"/>
        <w:rPr>
          <w:sz w:val="24"/>
          <w:szCs w:val="24"/>
        </w:rPr>
      </w:pPr>
      <w:r w:rsidRPr="00EF5D0D">
        <w:rPr>
          <w:b/>
          <w:sz w:val="24"/>
          <w:szCs w:val="24"/>
        </w:rPr>
        <w:t>Corporation Bank reported an increase of almost 35%</w:t>
      </w:r>
      <w:r>
        <w:rPr>
          <w:sz w:val="24"/>
          <w:szCs w:val="24"/>
        </w:rPr>
        <w:t xml:space="preserve"> in the number of RTI applications received as compared with the previous year while </w:t>
      </w:r>
      <w:r w:rsidRPr="00EF5D0D">
        <w:rPr>
          <w:b/>
          <w:sz w:val="24"/>
          <w:szCs w:val="24"/>
        </w:rPr>
        <w:t>Vijaya Bank reported an increase of more than 2</w:t>
      </w:r>
      <w:r>
        <w:rPr>
          <w:b/>
          <w:sz w:val="24"/>
          <w:szCs w:val="24"/>
        </w:rPr>
        <w:t xml:space="preserve">2% </w:t>
      </w:r>
      <w:r w:rsidRPr="00EF5D0D">
        <w:rPr>
          <w:sz w:val="24"/>
          <w:szCs w:val="24"/>
        </w:rPr>
        <w:t>and</w:t>
      </w:r>
      <w:r>
        <w:rPr>
          <w:sz w:val="24"/>
          <w:szCs w:val="24"/>
        </w:rPr>
        <w:t xml:space="preserve"> </w:t>
      </w:r>
      <w:r w:rsidRPr="00EF5D0D">
        <w:rPr>
          <w:b/>
          <w:sz w:val="24"/>
          <w:szCs w:val="24"/>
        </w:rPr>
        <w:t>Syndicate Bank reported a hike of almost 18%</w:t>
      </w:r>
      <w:r>
        <w:rPr>
          <w:b/>
          <w:sz w:val="24"/>
          <w:szCs w:val="24"/>
        </w:rPr>
        <w:t xml:space="preserve"> </w:t>
      </w:r>
      <w:r w:rsidRPr="0080096F">
        <w:rPr>
          <w:sz w:val="24"/>
          <w:szCs w:val="24"/>
        </w:rPr>
        <w:t>(</w:t>
      </w:r>
      <w:r w:rsidRPr="00EF5D0D">
        <w:rPr>
          <w:sz w:val="24"/>
          <w:szCs w:val="24"/>
        </w:rPr>
        <w:t>see Table</w:t>
      </w:r>
      <w:r>
        <w:rPr>
          <w:b/>
          <w:sz w:val="24"/>
          <w:szCs w:val="24"/>
        </w:rPr>
        <w:t xml:space="preserve"> </w:t>
      </w:r>
      <w:r>
        <w:rPr>
          <w:sz w:val="24"/>
          <w:szCs w:val="24"/>
        </w:rPr>
        <w:t xml:space="preserve">and Graph 1.2 below). </w:t>
      </w:r>
    </w:p>
    <w:p w:rsidR="00BB792D" w:rsidRPr="000859A5" w:rsidRDefault="00BB792D" w:rsidP="00BB792D">
      <w:pPr>
        <w:spacing w:after="0" w:line="240" w:lineRule="auto"/>
        <w:jc w:val="both"/>
        <w:rPr>
          <w:b/>
          <w:i/>
          <w:sz w:val="28"/>
          <w:szCs w:val="24"/>
          <w:u w:val="single"/>
        </w:rPr>
      </w:pPr>
    </w:p>
    <w:p w:rsidR="00BB792D" w:rsidRPr="002B71C3" w:rsidRDefault="002B71C3" w:rsidP="002B71C3">
      <w:pPr>
        <w:spacing w:after="0" w:line="240" w:lineRule="auto"/>
        <w:ind w:left="360" w:hanging="360"/>
        <w:jc w:val="both"/>
        <w:rPr>
          <w:b/>
          <w:i/>
          <w:sz w:val="28"/>
          <w:szCs w:val="24"/>
          <w:u w:val="single"/>
        </w:rPr>
      </w:pPr>
      <w:r w:rsidRPr="002B71C3">
        <w:rPr>
          <w:b/>
          <w:i/>
          <w:sz w:val="28"/>
          <w:szCs w:val="24"/>
        </w:rPr>
        <w:t xml:space="preserve">II. </w:t>
      </w:r>
      <w:r w:rsidR="00BB792D" w:rsidRPr="002B71C3">
        <w:rPr>
          <w:b/>
          <w:i/>
          <w:sz w:val="28"/>
          <w:szCs w:val="24"/>
          <w:u w:val="single"/>
        </w:rPr>
        <w:t xml:space="preserve">Average load factor of RTI applications </w:t>
      </w:r>
      <w:r w:rsidR="004B530F">
        <w:rPr>
          <w:b/>
          <w:i/>
          <w:sz w:val="28"/>
          <w:szCs w:val="24"/>
          <w:u w:val="single"/>
        </w:rPr>
        <w:t>i</w:t>
      </w:r>
      <w:r w:rsidR="00BB792D" w:rsidRPr="002B71C3">
        <w:rPr>
          <w:b/>
          <w:i/>
          <w:sz w:val="28"/>
          <w:szCs w:val="24"/>
          <w:u w:val="single"/>
        </w:rPr>
        <w:t>n PSBs</w:t>
      </w:r>
      <w:r w:rsidR="00BB792D" w:rsidRPr="002B71C3">
        <w:rPr>
          <w:b/>
          <w:i/>
          <w:sz w:val="28"/>
          <w:szCs w:val="24"/>
        </w:rPr>
        <w:t>:</w:t>
      </w:r>
    </w:p>
    <w:p w:rsidR="00BB792D" w:rsidRDefault="00BB792D" w:rsidP="00BB792D">
      <w:pPr>
        <w:spacing w:after="0" w:line="240" w:lineRule="auto"/>
        <w:jc w:val="both"/>
        <w:rPr>
          <w:sz w:val="24"/>
          <w:szCs w:val="24"/>
        </w:rPr>
      </w:pPr>
      <w:r>
        <w:rPr>
          <w:sz w:val="24"/>
          <w:szCs w:val="24"/>
        </w:rPr>
        <w:t>The PJ Nayak committee blamed RTI as a major constraint on the governance of PSBs without putting out any data or evidence in support of its finding. Our findings regarding the average load factor of RTI applications per branch are given below:</w:t>
      </w:r>
    </w:p>
    <w:p w:rsidR="00BB792D" w:rsidRDefault="00BB792D" w:rsidP="00BB792D">
      <w:pPr>
        <w:spacing w:after="0" w:line="240" w:lineRule="auto"/>
        <w:jc w:val="both"/>
        <w:rPr>
          <w:sz w:val="24"/>
          <w:szCs w:val="24"/>
        </w:rPr>
      </w:pPr>
    </w:p>
    <w:p w:rsidR="00BB792D" w:rsidRPr="00B506BB" w:rsidRDefault="00BB792D" w:rsidP="00BB792D">
      <w:pPr>
        <w:pStyle w:val="ListParagraph"/>
        <w:numPr>
          <w:ilvl w:val="0"/>
          <w:numId w:val="7"/>
        </w:numPr>
        <w:spacing w:after="0" w:line="240" w:lineRule="auto"/>
        <w:ind w:left="360"/>
        <w:jc w:val="both"/>
        <w:rPr>
          <w:sz w:val="24"/>
          <w:szCs w:val="24"/>
        </w:rPr>
      </w:pPr>
      <w:r w:rsidRPr="00B506BB">
        <w:rPr>
          <w:b/>
          <w:sz w:val="24"/>
          <w:szCs w:val="24"/>
        </w:rPr>
        <w:t>Only 3 PSBs, namely, State Bank of India (1.39), State Bank of Bikaner and Jaipur (1.25) and Punjab National Bank (1.10) averaged more than 1 RTI application per branch</w:t>
      </w:r>
      <w:r>
        <w:rPr>
          <w:sz w:val="24"/>
          <w:szCs w:val="24"/>
        </w:rPr>
        <w:t xml:space="preserve"> in 2016-17 (see Table below). All other Banks averaged less than 1 RTI application per branch. </w:t>
      </w:r>
      <w:r w:rsidRPr="004F2506">
        <w:rPr>
          <w:b/>
          <w:sz w:val="24"/>
          <w:szCs w:val="24"/>
          <w:u w:val="single"/>
        </w:rPr>
        <w:t xml:space="preserve">So the RTI statistics submitted by </w:t>
      </w:r>
      <w:r>
        <w:rPr>
          <w:b/>
          <w:sz w:val="24"/>
          <w:szCs w:val="24"/>
          <w:u w:val="single"/>
        </w:rPr>
        <w:t>PSBs</w:t>
      </w:r>
      <w:r w:rsidRPr="004F2506">
        <w:rPr>
          <w:b/>
          <w:sz w:val="24"/>
          <w:szCs w:val="24"/>
          <w:u w:val="single"/>
        </w:rPr>
        <w:t xml:space="preserve"> to the CIC do not prove the “constraint theory” </w:t>
      </w:r>
      <w:r>
        <w:rPr>
          <w:b/>
          <w:sz w:val="24"/>
          <w:szCs w:val="24"/>
          <w:u w:val="single"/>
        </w:rPr>
        <w:t>identified</w:t>
      </w:r>
      <w:r w:rsidRPr="004F2506">
        <w:rPr>
          <w:b/>
          <w:sz w:val="24"/>
          <w:szCs w:val="24"/>
          <w:u w:val="single"/>
        </w:rPr>
        <w:t xml:space="preserve"> by the P J Nayak Committee</w:t>
      </w:r>
      <w:r>
        <w:rPr>
          <w:sz w:val="24"/>
          <w:szCs w:val="24"/>
        </w:rPr>
        <w:t xml:space="preserve"> (see Table below)</w:t>
      </w:r>
      <w:r w:rsidRPr="004F2506">
        <w:rPr>
          <w:b/>
          <w:sz w:val="24"/>
          <w:szCs w:val="24"/>
        </w:rPr>
        <w:t xml:space="preserve">. </w:t>
      </w:r>
    </w:p>
    <w:p w:rsidR="00BB792D" w:rsidRDefault="00BB792D" w:rsidP="00BB792D">
      <w:pPr>
        <w:pStyle w:val="ListParagraph"/>
        <w:spacing w:after="0" w:line="240" w:lineRule="auto"/>
        <w:ind w:left="360"/>
        <w:jc w:val="both"/>
        <w:rPr>
          <w:b/>
          <w:sz w:val="24"/>
          <w:szCs w:val="24"/>
        </w:rPr>
      </w:pPr>
    </w:p>
    <w:p w:rsidR="00BB792D" w:rsidRDefault="00BB792D" w:rsidP="00BB792D">
      <w:pPr>
        <w:pStyle w:val="ListParagraph"/>
        <w:spacing w:after="0" w:line="240" w:lineRule="auto"/>
        <w:ind w:left="0"/>
        <w:jc w:val="both"/>
        <w:rPr>
          <w:sz w:val="24"/>
          <w:szCs w:val="24"/>
        </w:rPr>
      </w:pPr>
      <w:r w:rsidRPr="00B506BB">
        <w:rPr>
          <w:sz w:val="24"/>
          <w:szCs w:val="24"/>
        </w:rPr>
        <w:t>However, it must be admitted that</w:t>
      </w:r>
      <w:r>
        <w:rPr>
          <w:b/>
          <w:sz w:val="24"/>
          <w:szCs w:val="24"/>
        </w:rPr>
        <w:t xml:space="preserve"> </w:t>
      </w:r>
      <w:r w:rsidRPr="00B92353">
        <w:rPr>
          <w:sz w:val="24"/>
          <w:szCs w:val="24"/>
        </w:rPr>
        <w:t>c</w:t>
      </w:r>
      <w:r w:rsidRPr="004F2506">
        <w:rPr>
          <w:sz w:val="24"/>
          <w:szCs w:val="24"/>
        </w:rPr>
        <w:t xml:space="preserve">urrent statistics reported to the CIC do not indicate the degree of concentration of RTI applications </w:t>
      </w:r>
      <w:r>
        <w:rPr>
          <w:sz w:val="24"/>
          <w:szCs w:val="24"/>
        </w:rPr>
        <w:t xml:space="preserve">in the </w:t>
      </w:r>
      <w:r w:rsidRPr="004F2506">
        <w:rPr>
          <w:sz w:val="24"/>
          <w:szCs w:val="24"/>
        </w:rPr>
        <w:t>branch offices of these Banks. It is quite possible tha</w:t>
      </w:r>
      <w:r>
        <w:rPr>
          <w:sz w:val="24"/>
          <w:szCs w:val="24"/>
        </w:rPr>
        <w:t>t some of the branch offices might</w:t>
      </w:r>
      <w:r w:rsidRPr="004F2506">
        <w:rPr>
          <w:sz w:val="24"/>
          <w:szCs w:val="24"/>
        </w:rPr>
        <w:t xml:space="preserve"> </w:t>
      </w:r>
      <w:r>
        <w:rPr>
          <w:sz w:val="24"/>
          <w:szCs w:val="24"/>
        </w:rPr>
        <w:t>receive</w:t>
      </w:r>
      <w:r w:rsidRPr="004F2506">
        <w:rPr>
          <w:sz w:val="24"/>
          <w:szCs w:val="24"/>
        </w:rPr>
        <w:t xml:space="preserve"> more RTI applications than others. It is important to conduct a third party assessment of the spread of RTI applications between bank branches and then identify measures to assist those </w:t>
      </w:r>
      <w:r>
        <w:rPr>
          <w:sz w:val="24"/>
          <w:szCs w:val="24"/>
        </w:rPr>
        <w:t xml:space="preserve">branches </w:t>
      </w:r>
      <w:r w:rsidRPr="004F2506">
        <w:rPr>
          <w:sz w:val="24"/>
          <w:szCs w:val="24"/>
        </w:rPr>
        <w:t>receiving a large number of RTI applications to deal with them speedily.</w:t>
      </w:r>
    </w:p>
    <w:p w:rsidR="00BB792D" w:rsidRDefault="00BB792D" w:rsidP="00BB792D">
      <w:pPr>
        <w:spacing w:after="0" w:line="240" w:lineRule="auto"/>
        <w:jc w:val="both"/>
        <w:rPr>
          <w:sz w:val="24"/>
          <w:szCs w:val="24"/>
        </w:rPr>
      </w:pPr>
    </w:p>
    <w:p w:rsidR="00BB792D" w:rsidRPr="00285C75" w:rsidRDefault="002B71C3" w:rsidP="00BB792D">
      <w:pPr>
        <w:spacing w:after="0" w:line="240" w:lineRule="auto"/>
        <w:ind w:left="360" w:hanging="360"/>
        <w:jc w:val="both"/>
        <w:rPr>
          <w:b/>
          <w:sz w:val="24"/>
          <w:szCs w:val="24"/>
        </w:rPr>
      </w:pPr>
      <w:r>
        <w:rPr>
          <w:b/>
          <w:i/>
          <w:sz w:val="28"/>
          <w:szCs w:val="28"/>
        </w:rPr>
        <w:t>III</w:t>
      </w:r>
      <w:r w:rsidR="000859A5" w:rsidRPr="000859A5">
        <w:rPr>
          <w:b/>
          <w:i/>
          <w:sz w:val="28"/>
          <w:szCs w:val="28"/>
        </w:rPr>
        <w:t>.</w:t>
      </w:r>
      <w:r w:rsidR="000859A5">
        <w:rPr>
          <w:b/>
          <w:i/>
          <w:sz w:val="24"/>
          <w:szCs w:val="24"/>
        </w:rPr>
        <w:t xml:space="preserve"> </w:t>
      </w:r>
      <w:r w:rsidR="00BB792D" w:rsidRPr="000859A5">
        <w:rPr>
          <w:b/>
          <w:i/>
          <w:sz w:val="28"/>
          <w:szCs w:val="24"/>
          <w:u w:val="single"/>
        </w:rPr>
        <w:t>Trends in the disposal of RTI applications</w:t>
      </w:r>
      <w:r w:rsidR="00BB792D" w:rsidRPr="00285C75">
        <w:rPr>
          <w:b/>
          <w:i/>
          <w:sz w:val="28"/>
          <w:szCs w:val="24"/>
        </w:rPr>
        <w:t>:</w:t>
      </w:r>
    </w:p>
    <w:p w:rsidR="00BB792D" w:rsidRDefault="00BB792D" w:rsidP="00BB792D">
      <w:pPr>
        <w:spacing w:after="0" w:line="240" w:lineRule="auto"/>
        <w:jc w:val="both"/>
        <w:rPr>
          <w:sz w:val="24"/>
          <w:szCs w:val="24"/>
        </w:rPr>
      </w:pPr>
      <w:r>
        <w:rPr>
          <w:sz w:val="24"/>
          <w:szCs w:val="24"/>
        </w:rPr>
        <w:t>This segment contains findings from our analysis of the overall trends regarding rejection of RTI applications:</w:t>
      </w:r>
    </w:p>
    <w:p w:rsidR="00BB792D" w:rsidRPr="005D7CA4" w:rsidRDefault="00BB792D" w:rsidP="00BB792D">
      <w:pPr>
        <w:spacing w:after="0" w:line="240" w:lineRule="auto"/>
        <w:jc w:val="both"/>
        <w:rPr>
          <w:sz w:val="24"/>
          <w:szCs w:val="24"/>
        </w:rPr>
      </w:pPr>
      <w:r>
        <w:rPr>
          <w:sz w:val="24"/>
          <w:szCs w:val="24"/>
        </w:rPr>
        <w:t xml:space="preserve"> </w:t>
      </w:r>
    </w:p>
    <w:p w:rsidR="00BB792D" w:rsidRPr="00B0271A" w:rsidRDefault="00BB792D" w:rsidP="00BB792D">
      <w:pPr>
        <w:pStyle w:val="ListParagraph"/>
        <w:numPr>
          <w:ilvl w:val="0"/>
          <w:numId w:val="3"/>
        </w:numPr>
        <w:spacing w:after="0" w:line="240" w:lineRule="auto"/>
        <w:ind w:left="360"/>
        <w:jc w:val="both"/>
        <w:rPr>
          <w:sz w:val="24"/>
          <w:szCs w:val="24"/>
        </w:rPr>
      </w:pPr>
      <w:r>
        <w:rPr>
          <w:sz w:val="24"/>
          <w:szCs w:val="24"/>
        </w:rPr>
        <w:t xml:space="preserve">While the </w:t>
      </w:r>
      <w:r w:rsidRPr="00785AEA">
        <w:rPr>
          <w:b/>
          <w:sz w:val="24"/>
          <w:szCs w:val="24"/>
        </w:rPr>
        <w:t>RTI applications received by 26 Banks (including RBI) in 2016-17 account for 9%</w:t>
      </w:r>
      <w:r>
        <w:rPr>
          <w:sz w:val="24"/>
          <w:szCs w:val="24"/>
        </w:rPr>
        <w:t xml:space="preserve"> of the total number of RTI applications received by all reporting public authorities the </w:t>
      </w:r>
      <w:r w:rsidRPr="00785AEA">
        <w:rPr>
          <w:b/>
          <w:sz w:val="24"/>
          <w:szCs w:val="24"/>
        </w:rPr>
        <w:t>Government of India, they account for 33% of the rejections</w:t>
      </w:r>
      <w:r>
        <w:rPr>
          <w:sz w:val="24"/>
          <w:szCs w:val="24"/>
        </w:rPr>
        <w:t xml:space="preserve"> (see Table and Graphs 1.4 and 1.5 below). In comparison, the overall rejection rate for the Union Ministry of Finance was much lower at 18.41%. </w:t>
      </w:r>
      <w:r w:rsidRPr="00B0271A">
        <w:rPr>
          <w:b/>
          <w:sz w:val="24"/>
          <w:szCs w:val="24"/>
        </w:rPr>
        <w:t xml:space="preserve">13 </w:t>
      </w:r>
      <w:r>
        <w:rPr>
          <w:b/>
          <w:sz w:val="24"/>
          <w:szCs w:val="24"/>
        </w:rPr>
        <w:t xml:space="preserve">of 25 </w:t>
      </w:r>
      <w:r w:rsidRPr="00B0271A">
        <w:rPr>
          <w:b/>
          <w:sz w:val="24"/>
          <w:szCs w:val="24"/>
        </w:rPr>
        <w:t>PSBs</w:t>
      </w:r>
      <w:r>
        <w:rPr>
          <w:sz w:val="24"/>
          <w:szCs w:val="24"/>
        </w:rPr>
        <w:t xml:space="preserve"> (i.e., more than 50% of them) reported an increase in the rejection rate in 2016-17 (see Graphs 1.6 and 1.9 below). </w:t>
      </w:r>
      <w:r w:rsidRPr="00B0271A">
        <w:rPr>
          <w:b/>
          <w:sz w:val="24"/>
          <w:szCs w:val="24"/>
        </w:rPr>
        <w:t xml:space="preserve">In other words, </w:t>
      </w:r>
      <w:r>
        <w:rPr>
          <w:b/>
          <w:sz w:val="24"/>
          <w:szCs w:val="24"/>
        </w:rPr>
        <w:t xml:space="preserve">the rate of rejection of RTI applications was much higher in </w:t>
      </w:r>
      <w:r w:rsidRPr="00B0271A">
        <w:rPr>
          <w:b/>
          <w:sz w:val="24"/>
          <w:szCs w:val="24"/>
        </w:rPr>
        <w:t xml:space="preserve">PSBs </w:t>
      </w:r>
      <w:r>
        <w:rPr>
          <w:b/>
          <w:sz w:val="24"/>
          <w:szCs w:val="24"/>
        </w:rPr>
        <w:t xml:space="preserve">as compared to </w:t>
      </w:r>
      <w:r w:rsidRPr="00B0271A">
        <w:rPr>
          <w:b/>
          <w:sz w:val="24"/>
          <w:szCs w:val="24"/>
        </w:rPr>
        <w:t>other public authorities under the Government of India</w:t>
      </w:r>
      <w:r>
        <w:rPr>
          <w:b/>
          <w:sz w:val="24"/>
          <w:szCs w:val="24"/>
        </w:rPr>
        <w:t xml:space="preserve">. </w:t>
      </w:r>
      <w:r w:rsidRPr="00316ED9">
        <w:rPr>
          <w:sz w:val="24"/>
          <w:szCs w:val="24"/>
          <w:u w:val="single"/>
        </w:rPr>
        <w:t>Resistance to transparency seems to have increased during this period, particularly when the banking sector is going through a difficult phase</w:t>
      </w:r>
      <w:r w:rsidRPr="00B0271A">
        <w:rPr>
          <w:sz w:val="24"/>
          <w:szCs w:val="24"/>
        </w:rPr>
        <w:t>;</w:t>
      </w:r>
    </w:p>
    <w:p w:rsidR="00BB792D" w:rsidRDefault="00BB792D" w:rsidP="00BB792D">
      <w:pPr>
        <w:pStyle w:val="ListParagraph"/>
        <w:spacing w:after="0" w:line="240" w:lineRule="auto"/>
        <w:ind w:left="360"/>
        <w:jc w:val="both"/>
        <w:rPr>
          <w:sz w:val="24"/>
          <w:szCs w:val="24"/>
        </w:rPr>
      </w:pPr>
    </w:p>
    <w:p w:rsidR="00BB792D" w:rsidRDefault="00BB792D" w:rsidP="00BB792D">
      <w:pPr>
        <w:pStyle w:val="ListParagraph"/>
        <w:numPr>
          <w:ilvl w:val="0"/>
          <w:numId w:val="3"/>
        </w:numPr>
        <w:spacing w:after="0" w:line="240" w:lineRule="auto"/>
        <w:ind w:left="360"/>
        <w:jc w:val="both"/>
        <w:rPr>
          <w:sz w:val="24"/>
          <w:szCs w:val="24"/>
        </w:rPr>
      </w:pPr>
      <w:r>
        <w:rPr>
          <w:sz w:val="24"/>
          <w:szCs w:val="24"/>
        </w:rPr>
        <w:t xml:space="preserve">The </w:t>
      </w:r>
      <w:r w:rsidRPr="00C5644D">
        <w:rPr>
          <w:b/>
          <w:sz w:val="24"/>
          <w:szCs w:val="24"/>
        </w:rPr>
        <w:t xml:space="preserve">State Bank of Hyderabad rejected </w:t>
      </w:r>
      <w:r>
        <w:rPr>
          <w:b/>
          <w:sz w:val="24"/>
          <w:szCs w:val="24"/>
        </w:rPr>
        <w:t xml:space="preserve">a record </w:t>
      </w:r>
      <w:r w:rsidRPr="00C5644D">
        <w:rPr>
          <w:b/>
          <w:sz w:val="24"/>
          <w:szCs w:val="24"/>
        </w:rPr>
        <w:t>71% or 7 out of every 10 RTI applications</w:t>
      </w:r>
      <w:r>
        <w:rPr>
          <w:sz w:val="24"/>
          <w:szCs w:val="24"/>
        </w:rPr>
        <w:t xml:space="preserve"> received in 2016-17 (see Table and Graph 1.3 below). </w:t>
      </w:r>
      <w:r w:rsidRPr="00785AEA">
        <w:rPr>
          <w:sz w:val="24"/>
          <w:szCs w:val="24"/>
        </w:rPr>
        <w:t>This</w:t>
      </w:r>
      <w:r>
        <w:rPr>
          <w:b/>
          <w:sz w:val="24"/>
          <w:szCs w:val="24"/>
        </w:rPr>
        <w:t xml:space="preserve"> </w:t>
      </w:r>
      <w:r>
        <w:rPr>
          <w:sz w:val="24"/>
          <w:szCs w:val="24"/>
        </w:rPr>
        <w:t>is the highest rate of rejection reported by any public authority that is not covered under Section 24 of the RTI Act.</w:t>
      </w:r>
      <w:r>
        <w:rPr>
          <w:rStyle w:val="FootnoteReference"/>
          <w:sz w:val="24"/>
          <w:szCs w:val="24"/>
        </w:rPr>
        <w:footnoteReference w:id="1"/>
      </w:r>
      <w:r>
        <w:rPr>
          <w:sz w:val="24"/>
          <w:szCs w:val="24"/>
        </w:rPr>
        <w:t xml:space="preserve"> </w:t>
      </w:r>
      <w:r w:rsidRPr="00C5644D">
        <w:rPr>
          <w:b/>
          <w:sz w:val="24"/>
          <w:szCs w:val="24"/>
        </w:rPr>
        <w:t>Oriental Bank of Commerce rejected every 2</w:t>
      </w:r>
      <w:r w:rsidRPr="00C5644D">
        <w:rPr>
          <w:b/>
          <w:sz w:val="24"/>
          <w:szCs w:val="24"/>
          <w:vertAlign w:val="superscript"/>
        </w:rPr>
        <w:t>nd</w:t>
      </w:r>
      <w:r w:rsidRPr="00C5644D">
        <w:rPr>
          <w:b/>
          <w:sz w:val="24"/>
          <w:szCs w:val="24"/>
        </w:rPr>
        <w:t xml:space="preserve"> RTI application</w:t>
      </w:r>
      <w:r>
        <w:rPr>
          <w:sz w:val="24"/>
          <w:szCs w:val="24"/>
        </w:rPr>
        <w:t xml:space="preserve"> (50% of the RTI applications rejected). </w:t>
      </w:r>
      <w:r w:rsidRPr="00CA2D97">
        <w:rPr>
          <w:b/>
          <w:sz w:val="24"/>
          <w:szCs w:val="24"/>
        </w:rPr>
        <w:t xml:space="preserve">Corporation Bank’s rejection rate was at 47.3% while Andhra Bank rejected 45.9% </w:t>
      </w:r>
      <w:r>
        <w:rPr>
          <w:sz w:val="24"/>
          <w:szCs w:val="24"/>
        </w:rPr>
        <w:t xml:space="preserve">of the RTI applications received in 2016-17. Both </w:t>
      </w:r>
      <w:r w:rsidRPr="00CA2D97">
        <w:rPr>
          <w:b/>
          <w:sz w:val="24"/>
          <w:szCs w:val="24"/>
        </w:rPr>
        <w:t>Dena Bank and Canara Bank rejected more than 40%</w:t>
      </w:r>
      <w:r>
        <w:rPr>
          <w:sz w:val="24"/>
          <w:szCs w:val="24"/>
        </w:rPr>
        <w:t xml:space="preserve"> of the RTI applications received during this period. </w:t>
      </w:r>
    </w:p>
    <w:p w:rsidR="00BB792D" w:rsidRPr="00316ED9" w:rsidRDefault="00BB792D" w:rsidP="00BB792D">
      <w:pPr>
        <w:pStyle w:val="ListParagraph"/>
        <w:rPr>
          <w:b/>
          <w:sz w:val="24"/>
          <w:szCs w:val="24"/>
        </w:rPr>
      </w:pPr>
    </w:p>
    <w:p w:rsidR="00BB792D" w:rsidRDefault="00BB792D" w:rsidP="00BB792D">
      <w:pPr>
        <w:pStyle w:val="ListParagraph"/>
        <w:numPr>
          <w:ilvl w:val="0"/>
          <w:numId w:val="3"/>
        </w:numPr>
        <w:spacing w:after="0" w:line="240" w:lineRule="auto"/>
        <w:ind w:left="360"/>
        <w:jc w:val="both"/>
        <w:rPr>
          <w:sz w:val="24"/>
          <w:szCs w:val="24"/>
        </w:rPr>
      </w:pPr>
      <w:r w:rsidRPr="00316ED9">
        <w:rPr>
          <w:b/>
          <w:sz w:val="24"/>
          <w:szCs w:val="24"/>
        </w:rPr>
        <w:t>6 PSBs rejected more than one third of the RTI applications they received</w:t>
      </w:r>
      <w:r>
        <w:rPr>
          <w:b/>
          <w:sz w:val="24"/>
          <w:szCs w:val="24"/>
        </w:rPr>
        <w:t xml:space="preserve"> </w:t>
      </w:r>
      <w:r>
        <w:rPr>
          <w:sz w:val="24"/>
          <w:szCs w:val="24"/>
        </w:rPr>
        <w:t>in 2016-17. These are: Vijaya Bank (38.2%), Allahabad Bank (36.6%), Indian Overseas Bank (35.3%), Bank of Baroda (34.6%), State Bank of Mysore (34.1%), Bank of Maharashtra (34%),  (see Table and Graph 1.3 below);</w:t>
      </w:r>
    </w:p>
    <w:p w:rsidR="00BB792D" w:rsidRPr="00C5644D" w:rsidRDefault="00BB792D" w:rsidP="00BB792D">
      <w:pPr>
        <w:pStyle w:val="ListParagraph"/>
        <w:ind w:left="360"/>
        <w:rPr>
          <w:sz w:val="24"/>
          <w:szCs w:val="24"/>
        </w:rPr>
      </w:pPr>
    </w:p>
    <w:p w:rsidR="00BB792D" w:rsidRDefault="00BB792D" w:rsidP="00BB792D">
      <w:pPr>
        <w:pStyle w:val="ListParagraph"/>
        <w:numPr>
          <w:ilvl w:val="0"/>
          <w:numId w:val="3"/>
        </w:numPr>
        <w:spacing w:after="0" w:line="240" w:lineRule="auto"/>
        <w:ind w:left="360"/>
        <w:jc w:val="both"/>
        <w:rPr>
          <w:sz w:val="24"/>
          <w:szCs w:val="24"/>
        </w:rPr>
      </w:pPr>
      <w:r w:rsidRPr="00E82DBD">
        <w:rPr>
          <w:b/>
          <w:sz w:val="24"/>
          <w:szCs w:val="24"/>
        </w:rPr>
        <w:t>Punjab National Bank</w:t>
      </w:r>
      <w:r>
        <w:rPr>
          <w:sz w:val="24"/>
          <w:szCs w:val="24"/>
        </w:rPr>
        <w:t xml:space="preserve"> which has been in the news recently because of the more than USD 1.8 billion- Letters of Undertaking (LoU) fraud allegedly committed in collusion with certain business houses, </w:t>
      </w:r>
      <w:r w:rsidRPr="00E82DBD">
        <w:rPr>
          <w:b/>
          <w:sz w:val="24"/>
          <w:szCs w:val="24"/>
        </w:rPr>
        <w:t>rejected almost 3 of every 10 RTI applications</w:t>
      </w:r>
      <w:r>
        <w:rPr>
          <w:sz w:val="24"/>
          <w:szCs w:val="24"/>
        </w:rPr>
        <w:t xml:space="preserve"> received in 2016-17 (see Table and Graph 1.3 below);</w:t>
      </w:r>
    </w:p>
    <w:p w:rsidR="00BB792D" w:rsidRPr="00E82DBD" w:rsidRDefault="00BB792D" w:rsidP="00BB792D">
      <w:pPr>
        <w:pStyle w:val="ListParagraph"/>
        <w:ind w:left="360"/>
        <w:rPr>
          <w:sz w:val="24"/>
          <w:szCs w:val="24"/>
        </w:rPr>
      </w:pPr>
    </w:p>
    <w:p w:rsidR="00BB792D" w:rsidRDefault="00BB792D" w:rsidP="00BB792D">
      <w:pPr>
        <w:pStyle w:val="ListParagraph"/>
        <w:numPr>
          <w:ilvl w:val="0"/>
          <w:numId w:val="3"/>
        </w:numPr>
        <w:spacing w:after="0" w:line="240" w:lineRule="auto"/>
        <w:ind w:left="360"/>
        <w:jc w:val="both"/>
        <w:rPr>
          <w:sz w:val="24"/>
          <w:szCs w:val="24"/>
        </w:rPr>
      </w:pPr>
      <w:r>
        <w:rPr>
          <w:sz w:val="24"/>
          <w:szCs w:val="24"/>
        </w:rPr>
        <w:t xml:space="preserve">Interestingly, </w:t>
      </w:r>
      <w:r w:rsidRPr="00316ED9">
        <w:rPr>
          <w:b/>
          <w:sz w:val="24"/>
          <w:szCs w:val="24"/>
        </w:rPr>
        <w:t>Punjab National Bank reported a dip of more than 5% in the number of RTI applications received while its rate of rejection also decreased at 0.8%</w:t>
      </w:r>
      <w:r>
        <w:rPr>
          <w:sz w:val="24"/>
          <w:szCs w:val="24"/>
        </w:rPr>
        <w:t xml:space="preserve">. </w:t>
      </w:r>
      <w:r w:rsidRPr="00316ED9">
        <w:rPr>
          <w:b/>
          <w:sz w:val="24"/>
          <w:szCs w:val="24"/>
        </w:rPr>
        <w:t xml:space="preserve">State Bank of India and State Bank of Mysore also reported a dip </w:t>
      </w:r>
      <w:r>
        <w:rPr>
          <w:b/>
          <w:sz w:val="24"/>
          <w:szCs w:val="24"/>
        </w:rPr>
        <w:t xml:space="preserve">both in </w:t>
      </w:r>
      <w:r w:rsidRPr="00316ED9">
        <w:rPr>
          <w:b/>
          <w:sz w:val="24"/>
          <w:szCs w:val="24"/>
        </w:rPr>
        <w:t>the number of RTI applications received and</w:t>
      </w:r>
      <w:r>
        <w:rPr>
          <w:b/>
          <w:sz w:val="24"/>
          <w:szCs w:val="24"/>
        </w:rPr>
        <w:t xml:space="preserve"> the</w:t>
      </w:r>
      <w:r w:rsidRPr="00316ED9">
        <w:rPr>
          <w:b/>
          <w:sz w:val="24"/>
          <w:szCs w:val="24"/>
        </w:rPr>
        <w:t xml:space="preserve"> rate of rejection</w:t>
      </w:r>
      <w:r>
        <w:rPr>
          <w:sz w:val="24"/>
          <w:szCs w:val="24"/>
        </w:rPr>
        <w:t xml:space="preserve"> (see Table and Graph 1.7 below);</w:t>
      </w:r>
    </w:p>
    <w:p w:rsidR="00BB792D" w:rsidRPr="0038229E" w:rsidRDefault="00BB792D" w:rsidP="00BB792D">
      <w:pPr>
        <w:pStyle w:val="ListParagraph"/>
        <w:ind w:left="360"/>
        <w:rPr>
          <w:sz w:val="24"/>
          <w:szCs w:val="24"/>
        </w:rPr>
      </w:pPr>
    </w:p>
    <w:p w:rsidR="00BB792D" w:rsidRDefault="00BB792D" w:rsidP="00BB792D">
      <w:pPr>
        <w:pStyle w:val="ListParagraph"/>
        <w:numPr>
          <w:ilvl w:val="0"/>
          <w:numId w:val="3"/>
        </w:numPr>
        <w:spacing w:after="0" w:line="240" w:lineRule="auto"/>
        <w:ind w:left="360"/>
        <w:jc w:val="both"/>
        <w:rPr>
          <w:sz w:val="24"/>
          <w:szCs w:val="24"/>
        </w:rPr>
      </w:pPr>
      <w:r>
        <w:rPr>
          <w:b/>
          <w:sz w:val="24"/>
          <w:szCs w:val="24"/>
        </w:rPr>
        <w:t xml:space="preserve">3 PSBs, namely, </w:t>
      </w:r>
      <w:r w:rsidRPr="00E55960">
        <w:rPr>
          <w:b/>
          <w:sz w:val="24"/>
          <w:szCs w:val="24"/>
        </w:rPr>
        <w:t>Indian Bank (11.7%), State Bank of Patiala (13.5%) and United Bank of India (13.5%)</w:t>
      </w:r>
      <w:r>
        <w:rPr>
          <w:sz w:val="24"/>
          <w:szCs w:val="24"/>
        </w:rPr>
        <w:t xml:space="preserve"> reported the </w:t>
      </w:r>
      <w:r>
        <w:rPr>
          <w:b/>
          <w:sz w:val="24"/>
          <w:szCs w:val="24"/>
        </w:rPr>
        <w:t>lowest rejection rate</w:t>
      </w:r>
      <w:r>
        <w:rPr>
          <w:sz w:val="24"/>
          <w:szCs w:val="24"/>
        </w:rPr>
        <w:t xml:space="preserve"> (see Table and Graph 1.3 below);</w:t>
      </w:r>
    </w:p>
    <w:p w:rsidR="00BB792D" w:rsidRPr="00997919" w:rsidRDefault="00BB792D" w:rsidP="00BB792D">
      <w:pPr>
        <w:pStyle w:val="ListParagraph"/>
        <w:ind w:left="360"/>
        <w:rPr>
          <w:sz w:val="24"/>
          <w:szCs w:val="24"/>
        </w:rPr>
      </w:pPr>
    </w:p>
    <w:p w:rsidR="00BB792D" w:rsidRDefault="00BB792D" w:rsidP="00BB792D">
      <w:pPr>
        <w:pStyle w:val="ListParagraph"/>
        <w:numPr>
          <w:ilvl w:val="0"/>
          <w:numId w:val="3"/>
        </w:numPr>
        <w:spacing w:after="0" w:line="240" w:lineRule="auto"/>
        <w:ind w:left="360"/>
        <w:jc w:val="both"/>
        <w:rPr>
          <w:sz w:val="24"/>
          <w:szCs w:val="24"/>
        </w:rPr>
      </w:pPr>
      <w:r w:rsidRPr="00997919">
        <w:rPr>
          <w:b/>
          <w:sz w:val="24"/>
          <w:szCs w:val="24"/>
        </w:rPr>
        <w:t>5 PSBs namely IDBI Bank Ltd., Indian Bank, State Bank of Bikaner and Jaipur, Vijaya Bank and RBI reported an increasing trend in both receipts of RTI applications and rejections</w:t>
      </w:r>
      <w:r>
        <w:rPr>
          <w:sz w:val="24"/>
          <w:szCs w:val="24"/>
        </w:rPr>
        <w:t xml:space="preserve"> (see Table and Graph 1.6 below);</w:t>
      </w:r>
    </w:p>
    <w:p w:rsidR="00BB792D" w:rsidRPr="00E55960" w:rsidRDefault="00BB792D" w:rsidP="00BB792D">
      <w:pPr>
        <w:pStyle w:val="ListParagraph"/>
        <w:ind w:left="360"/>
        <w:rPr>
          <w:sz w:val="24"/>
          <w:szCs w:val="24"/>
        </w:rPr>
      </w:pPr>
    </w:p>
    <w:p w:rsidR="00BB792D" w:rsidRDefault="00BB792D" w:rsidP="00BB792D">
      <w:pPr>
        <w:pStyle w:val="ListParagraph"/>
        <w:numPr>
          <w:ilvl w:val="0"/>
          <w:numId w:val="3"/>
        </w:numPr>
        <w:spacing w:after="0" w:line="240" w:lineRule="auto"/>
        <w:ind w:left="360"/>
        <w:jc w:val="both"/>
        <w:rPr>
          <w:sz w:val="24"/>
          <w:szCs w:val="24"/>
        </w:rPr>
      </w:pPr>
      <w:r w:rsidRPr="00997919">
        <w:rPr>
          <w:b/>
          <w:sz w:val="24"/>
          <w:szCs w:val="24"/>
        </w:rPr>
        <w:t xml:space="preserve">RBI reported the lowest rejection rate </w:t>
      </w:r>
      <w:r>
        <w:rPr>
          <w:b/>
          <w:sz w:val="24"/>
          <w:szCs w:val="24"/>
        </w:rPr>
        <w:t xml:space="preserve">among </w:t>
      </w:r>
      <w:r w:rsidRPr="00997919">
        <w:rPr>
          <w:b/>
          <w:sz w:val="24"/>
          <w:szCs w:val="24"/>
        </w:rPr>
        <w:t xml:space="preserve">all </w:t>
      </w:r>
      <w:r>
        <w:rPr>
          <w:b/>
          <w:sz w:val="24"/>
          <w:szCs w:val="24"/>
        </w:rPr>
        <w:t xml:space="preserve">Banks </w:t>
      </w:r>
      <w:r w:rsidRPr="00997919">
        <w:rPr>
          <w:b/>
          <w:sz w:val="24"/>
          <w:szCs w:val="24"/>
        </w:rPr>
        <w:t>at 2.5%</w:t>
      </w:r>
      <w:r>
        <w:rPr>
          <w:sz w:val="24"/>
          <w:szCs w:val="24"/>
        </w:rPr>
        <w:t xml:space="preserve"> in 2016-17, but this figure is almost double the rejection rate of 1.3% reported in 2015-16 (see Table and Graph 1.3 below). Perhaps their refusal to open up records relating to the demonetisation exercise begun in November 2016 , printing of new currency notes and their circulation to treasury chests situated across the country have added to these numbers;</w:t>
      </w:r>
    </w:p>
    <w:p w:rsidR="00BB792D" w:rsidRPr="00997919" w:rsidRDefault="00BB792D" w:rsidP="00BB792D">
      <w:pPr>
        <w:pStyle w:val="ListParagraph"/>
        <w:ind w:left="360"/>
        <w:rPr>
          <w:sz w:val="24"/>
          <w:szCs w:val="24"/>
        </w:rPr>
      </w:pPr>
    </w:p>
    <w:p w:rsidR="00BB792D" w:rsidRDefault="00BB792D" w:rsidP="00BB792D">
      <w:pPr>
        <w:pStyle w:val="ListParagraph"/>
        <w:numPr>
          <w:ilvl w:val="0"/>
          <w:numId w:val="3"/>
        </w:numPr>
        <w:spacing w:after="0" w:line="240" w:lineRule="auto"/>
        <w:ind w:left="360"/>
        <w:jc w:val="both"/>
        <w:rPr>
          <w:sz w:val="24"/>
          <w:szCs w:val="24"/>
        </w:rPr>
      </w:pPr>
      <w:r w:rsidRPr="00B0271A">
        <w:rPr>
          <w:b/>
          <w:sz w:val="24"/>
          <w:szCs w:val="24"/>
        </w:rPr>
        <w:t>8 PSBs, namely, Allahabad Bank, Bank of Baroda, Oriental Bank of Commerce, Punjab and Sind Bank, State Bank of Hyderabad, State Bank of Patiala, State Bank of Travancore and Union Bank of India reported a dip in the number of RTI applications received in 2016-17 but rejected more RTI applications</w:t>
      </w:r>
      <w:r>
        <w:rPr>
          <w:sz w:val="24"/>
          <w:szCs w:val="24"/>
        </w:rPr>
        <w:t xml:space="preserve"> as compared to the previous year. </w:t>
      </w:r>
      <w:r w:rsidRPr="00B0271A">
        <w:rPr>
          <w:b/>
          <w:sz w:val="24"/>
          <w:szCs w:val="24"/>
        </w:rPr>
        <w:t>While the State Bank of Hyderabad’s RTI applications were reduced to less than half of the previous year, its rejection rate went up by more than 19%</w:t>
      </w:r>
      <w:r>
        <w:rPr>
          <w:sz w:val="24"/>
          <w:szCs w:val="24"/>
        </w:rPr>
        <w:t xml:space="preserve">. </w:t>
      </w:r>
      <w:r w:rsidRPr="00B0271A">
        <w:rPr>
          <w:b/>
          <w:sz w:val="24"/>
          <w:szCs w:val="24"/>
        </w:rPr>
        <w:t xml:space="preserve">The Union Bank of India reported a reduction of more than 58% in the number of RTI applications received while the rejection rate went up by more than 3% </w:t>
      </w:r>
      <w:r>
        <w:rPr>
          <w:sz w:val="24"/>
          <w:szCs w:val="24"/>
        </w:rPr>
        <w:t>as compared to the previous year (see Table and Graph 1.9 below);</w:t>
      </w:r>
    </w:p>
    <w:p w:rsidR="00BB792D" w:rsidRPr="00B0271A" w:rsidRDefault="00BB792D" w:rsidP="00BB792D">
      <w:pPr>
        <w:pStyle w:val="ListParagraph"/>
        <w:ind w:left="360"/>
        <w:rPr>
          <w:sz w:val="24"/>
          <w:szCs w:val="24"/>
        </w:rPr>
      </w:pPr>
    </w:p>
    <w:p w:rsidR="00BB792D" w:rsidRDefault="00BB792D" w:rsidP="00BB792D">
      <w:pPr>
        <w:pStyle w:val="ListParagraph"/>
        <w:numPr>
          <w:ilvl w:val="0"/>
          <w:numId w:val="3"/>
        </w:numPr>
        <w:spacing w:after="0" w:line="240" w:lineRule="auto"/>
        <w:ind w:left="360"/>
        <w:jc w:val="both"/>
        <w:rPr>
          <w:sz w:val="24"/>
          <w:szCs w:val="24"/>
        </w:rPr>
      </w:pPr>
      <w:r w:rsidRPr="00F30EDE">
        <w:rPr>
          <w:b/>
          <w:sz w:val="24"/>
          <w:szCs w:val="24"/>
        </w:rPr>
        <w:t>10 PSBs, namely, Andhra Bank, Bank of India, Bank of Maharashtra, Canara Bank, Corporation Bank, Dena Bank, Indian Overseas Bank, Syndicate Bank, UCO Bank and United Bank of India reported an increase in the number of RTI applications received but a fall in the rate of rejection</w:t>
      </w:r>
      <w:r>
        <w:rPr>
          <w:sz w:val="24"/>
          <w:szCs w:val="24"/>
        </w:rPr>
        <w:t xml:space="preserve">. While </w:t>
      </w:r>
      <w:r w:rsidRPr="00F30EDE">
        <w:rPr>
          <w:b/>
          <w:sz w:val="24"/>
          <w:szCs w:val="24"/>
        </w:rPr>
        <w:t xml:space="preserve">United Bank of India reported a whopping 608% increase in the number of RTI applications received, its rejection rate fell by 51.7% </w:t>
      </w:r>
      <w:r>
        <w:rPr>
          <w:sz w:val="24"/>
          <w:szCs w:val="24"/>
        </w:rPr>
        <w:t>as compared to the previous year (see Table and Graph 1.8);</w:t>
      </w:r>
    </w:p>
    <w:p w:rsidR="00BB792D" w:rsidRDefault="00BB792D" w:rsidP="00BB792D">
      <w:pPr>
        <w:pStyle w:val="ListParagraph"/>
        <w:rPr>
          <w:sz w:val="24"/>
          <w:szCs w:val="24"/>
        </w:rPr>
      </w:pPr>
    </w:p>
    <w:p w:rsidR="00BB792D" w:rsidRPr="00285C75" w:rsidRDefault="002B71C3" w:rsidP="00BB792D">
      <w:pPr>
        <w:spacing w:after="0" w:line="240" w:lineRule="auto"/>
        <w:ind w:left="360" w:hanging="360"/>
        <w:jc w:val="both"/>
        <w:rPr>
          <w:b/>
          <w:sz w:val="24"/>
          <w:szCs w:val="24"/>
        </w:rPr>
      </w:pPr>
      <w:r>
        <w:rPr>
          <w:b/>
          <w:i/>
          <w:sz w:val="28"/>
          <w:szCs w:val="28"/>
        </w:rPr>
        <w:t>I</w:t>
      </w:r>
      <w:r w:rsidR="000859A5" w:rsidRPr="000859A5">
        <w:rPr>
          <w:b/>
          <w:i/>
          <w:sz w:val="28"/>
          <w:szCs w:val="28"/>
        </w:rPr>
        <w:t>V.</w:t>
      </w:r>
      <w:r w:rsidR="000859A5">
        <w:rPr>
          <w:b/>
          <w:i/>
          <w:sz w:val="24"/>
          <w:szCs w:val="24"/>
        </w:rPr>
        <w:t xml:space="preserve"> </w:t>
      </w:r>
      <w:r w:rsidR="00BB792D" w:rsidRPr="00285C75">
        <w:rPr>
          <w:b/>
          <w:i/>
          <w:sz w:val="28"/>
          <w:szCs w:val="28"/>
          <w:u w:val="single"/>
        </w:rPr>
        <w:t xml:space="preserve">The </w:t>
      </w:r>
      <w:r w:rsidR="005F6929">
        <w:rPr>
          <w:b/>
          <w:i/>
          <w:sz w:val="28"/>
          <w:szCs w:val="28"/>
          <w:u w:val="single"/>
        </w:rPr>
        <w:t>use of certain exemptions in a questionable manner</w:t>
      </w:r>
      <w:r w:rsidR="00BB792D" w:rsidRPr="00285C75">
        <w:rPr>
          <w:b/>
          <w:i/>
          <w:sz w:val="28"/>
          <w:szCs w:val="28"/>
        </w:rPr>
        <w:t>:</w:t>
      </w:r>
    </w:p>
    <w:p w:rsidR="00BB792D" w:rsidRDefault="00BB792D" w:rsidP="00BB792D">
      <w:pPr>
        <w:spacing w:after="0" w:line="240" w:lineRule="auto"/>
        <w:jc w:val="both"/>
        <w:rPr>
          <w:sz w:val="24"/>
          <w:szCs w:val="24"/>
        </w:rPr>
      </w:pPr>
      <w:r>
        <w:rPr>
          <w:sz w:val="24"/>
          <w:szCs w:val="24"/>
        </w:rPr>
        <w:t>This segment contains our findings which raise questions about the manner of rejection of RTI applications by PSBs:</w:t>
      </w:r>
    </w:p>
    <w:p w:rsidR="00BB792D" w:rsidRPr="0069142F" w:rsidRDefault="00BB792D" w:rsidP="00BB792D">
      <w:pPr>
        <w:spacing w:after="0" w:line="240" w:lineRule="auto"/>
        <w:jc w:val="both"/>
        <w:rPr>
          <w:sz w:val="24"/>
          <w:szCs w:val="24"/>
        </w:rPr>
      </w:pPr>
    </w:p>
    <w:p w:rsidR="00BB792D" w:rsidRDefault="00BB792D" w:rsidP="00BB792D">
      <w:pPr>
        <w:pStyle w:val="ListParagraph"/>
        <w:numPr>
          <w:ilvl w:val="0"/>
          <w:numId w:val="4"/>
        </w:numPr>
        <w:spacing w:after="0" w:line="240" w:lineRule="auto"/>
        <w:ind w:left="360"/>
        <w:jc w:val="both"/>
        <w:rPr>
          <w:sz w:val="24"/>
          <w:szCs w:val="24"/>
        </w:rPr>
      </w:pPr>
      <w:r w:rsidRPr="00CB44A0">
        <w:rPr>
          <w:b/>
          <w:sz w:val="24"/>
          <w:szCs w:val="24"/>
        </w:rPr>
        <w:t>Once again, a large number of PSBs and RBI rejected more RTI applications under “Others” category</w:t>
      </w:r>
      <w:r>
        <w:rPr>
          <w:sz w:val="24"/>
          <w:szCs w:val="24"/>
        </w:rPr>
        <w:t xml:space="preserve"> instead of the legally permissible exemptions to disclosure provided under Sections 8, 9 11 and 24 of the RTI Act. As to what criteria covers “Others” category, remains a mystery (see Pie Charts 1.10 and 1.11 below). Despite the CIC reportedly moving to delete “Others” category from the RTI statistics reporting software, the Banks are still using this category for reporting. </w:t>
      </w:r>
      <w:r w:rsidRPr="00CB44A0">
        <w:rPr>
          <w:b/>
          <w:sz w:val="24"/>
          <w:szCs w:val="24"/>
        </w:rPr>
        <w:t xml:space="preserve">While </w:t>
      </w:r>
      <w:r>
        <w:rPr>
          <w:b/>
          <w:sz w:val="24"/>
          <w:szCs w:val="24"/>
        </w:rPr>
        <w:t>PSBs</w:t>
      </w:r>
      <w:r w:rsidRPr="00CB44A0">
        <w:rPr>
          <w:b/>
          <w:sz w:val="24"/>
          <w:szCs w:val="24"/>
        </w:rPr>
        <w:t xml:space="preserve"> rejected 6,625 RTI applications under </w:t>
      </w:r>
      <w:r>
        <w:rPr>
          <w:b/>
          <w:sz w:val="24"/>
          <w:szCs w:val="24"/>
        </w:rPr>
        <w:t>“</w:t>
      </w:r>
      <w:r w:rsidRPr="00CB44A0">
        <w:rPr>
          <w:b/>
          <w:sz w:val="24"/>
          <w:szCs w:val="24"/>
        </w:rPr>
        <w:t>Others</w:t>
      </w:r>
      <w:r>
        <w:rPr>
          <w:b/>
          <w:sz w:val="24"/>
          <w:szCs w:val="24"/>
        </w:rPr>
        <w:t>”</w:t>
      </w:r>
      <w:r w:rsidRPr="00CB44A0">
        <w:rPr>
          <w:b/>
          <w:sz w:val="24"/>
          <w:szCs w:val="24"/>
        </w:rPr>
        <w:t xml:space="preserve"> category, only 6,616 RTI applications were rejected under Section 8(1)(j) </w:t>
      </w:r>
      <w:r>
        <w:rPr>
          <w:sz w:val="24"/>
          <w:szCs w:val="24"/>
        </w:rPr>
        <w:t>relating to personal information and the protection available for privacy- the most frequently invoked of legally permissible exemptions;</w:t>
      </w:r>
    </w:p>
    <w:p w:rsidR="00BB792D" w:rsidRDefault="00BB792D" w:rsidP="00BB792D">
      <w:pPr>
        <w:pStyle w:val="ListParagraph"/>
        <w:spacing w:after="0" w:line="240" w:lineRule="auto"/>
        <w:ind w:left="360"/>
        <w:jc w:val="both"/>
        <w:rPr>
          <w:sz w:val="24"/>
          <w:szCs w:val="24"/>
        </w:rPr>
      </w:pPr>
    </w:p>
    <w:p w:rsidR="00BB792D" w:rsidRDefault="00BB792D" w:rsidP="00BB792D">
      <w:pPr>
        <w:pStyle w:val="ListParagraph"/>
        <w:numPr>
          <w:ilvl w:val="0"/>
          <w:numId w:val="4"/>
        </w:numPr>
        <w:spacing w:after="0" w:line="240" w:lineRule="auto"/>
        <w:ind w:left="360"/>
        <w:jc w:val="both"/>
        <w:rPr>
          <w:sz w:val="24"/>
          <w:szCs w:val="24"/>
        </w:rPr>
      </w:pPr>
      <w:r w:rsidRPr="00CB44A0">
        <w:rPr>
          <w:b/>
          <w:sz w:val="24"/>
          <w:szCs w:val="24"/>
        </w:rPr>
        <w:t>RBI also rejected more than half (57%) of the RTI applications</w:t>
      </w:r>
      <w:r>
        <w:rPr>
          <w:sz w:val="24"/>
          <w:szCs w:val="24"/>
        </w:rPr>
        <w:t xml:space="preserve"> it received in 2016-17 </w:t>
      </w:r>
      <w:r w:rsidRPr="00CB44A0">
        <w:rPr>
          <w:b/>
          <w:sz w:val="24"/>
          <w:szCs w:val="24"/>
        </w:rPr>
        <w:t>under “Others” category</w:t>
      </w:r>
      <w:r>
        <w:rPr>
          <w:sz w:val="24"/>
          <w:szCs w:val="24"/>
        </w:rPr>
        <w:t xml:space="preserve">. Only 144 RTI applications were rejected under the permissible exemptions (see Graphs 1.11 and 1.14 below) </w:t>
      </w:r>
      <w:r w:rsidRPr="002F0751">
        <w:rPr>
          <w:b/>
          <w:sz w:val="24"/>
          <w:szCs w:val="24"/>
        </w:rPr>
        <w:t xml:space="preserve">Dena Bank </w:t>
      </w:r>
      <w:r>
        <w:rPr>
          <w:b/>
          <w:sz w:val="24"/>
          <w:szCs w:val="24"/>
        </w:rPr>
        <w:t>i</w:t>
      </w:r>
      <w:r w:rsidRPr="002F0751">
        <w:rPr>
          <w:b/>
          <w:sz w:val="24"/>
          <w:szCs w:val="24"/>
        </w:rPr>
        <w:t>s the only PSB which rejected more</w:t>
      </w:r>
      <w:r>
        <w:rPr>
          <w:b/>
          <w:sz w:val="24"/>
          <w:szCs w:val="24"/>
        </w:rPr>
        <w:t xml:space="preserve"> RTI applications under “Others”</w:t>
      </w:r>
      <w:r w:rsidRPr="002F0751">
        <w:rPr>
          <w:b/>
          <w:sz w:val="24"/>
          <w:szCs w:val="24"/>
        </w:rPr>
        <w:t xml:space="preserve"> category</w:t>
      </w:r>
      <w:r>
        <w:rPr>
          <w:b/>
          <w:sz w:val="24"/>
          <w:szCs w:val="24"/>
        </w:rPr>
        <w:t xml:space="preserve"> (48.356%)</w:t>
      </w:r>
      <w:r>
        <w:rPr>
          <w:sz w:val="24"/>
          <w:szCs w:val="24"/>
        </w:rPr>
        <w:t xml:space="preserve"> instead of the legally permitted exemptions (see Graph 1.14 below);</w:t>
      </w:r>
    </w:p>
    <w:p w:rsidR="00BB792D" w:rsidRPr="00CB44A0" w:rsidRDefault="00BB792D" w:rsidP="00BB792D">
      <w:pPr>
        <w:pStyle w:val="ListParagraph"/>
        <w:ind w:left="360"/>
        <w:rPr>
          <w:sz w:val="24"/>
          <w:szCs w:val="24"/>
        </w:rPr>
      </w:pPr>
    </w:p>
    <w:p w:rsidR="00BB792D" w:rsidRDefault="00BB792D" w:rsidP="00BB792D">
      <w:pPr>
        <w:pStyle w:val="ListParagraph"/>
        <w:numPr>
          <w:ilvl w:val="0"/>
          <w:numId w:val="4"/>
        </w:numPr>
        <w:spacing w:after="0" w:line="240" w:lineRule="auto"/>
        <w:ind w:left="360"/>
        <w:jc w:val="both"/>
        <w:rPr>
          <w:sz w:val="24"/>
          <w:szCs w:val="24"/>
        </w:rPr>
      </w:pPr>
      <w:r>
        <w:rPr>
          <w:b/>
          <w:sz w:val="24"/>
          <w:szCs w:val="24"/>
        </w:rPr>
        <w:lastRenderedPageBreak/>
        <w:t>9 PSBs</w:t>
      </w:r>
      <w:r w:rsidRPr="00CB44A0">
        <w:rPr>
          <w:b/>
          <w:sz w:val="24"/>
          <w:szCs w:val="24"/>
        </w:rPr>
        <w:t>,</w:t>
      </w:r>
      <w:r>
        <w:rPr>
          <w:sz w:val="24"/>
          <w:szCs w:val="24"/>
        </w:rPr>
        <w:t xml:space="preserve"> namely, </w:t>
      </w:r>
      <w:r w:rsidRPr="005D7CA4">
        <w:rPr>
          <w:b/>
          <w:sz w:val="24"/>
          <w:szCs w:val="24"/>
        </w:rPr>
        <w:t>State Bank of India, Canara Bank, Punjab National Bank, Syndicate Bank, Bank of Bar</w:t>
      </w:r>
      <w:r>
        <w:rPr>
          <w:b/>
          <w:sz w:val="24"/>
          <w:szCs w:val="24"/>
        </w:rPr>
        <w:t>o</w:t>
      </w:r>
      <w:r w:rsidRPr="005D7CA4">
        <w:rPr>
          <w:b/>
          <w:sz w:val="24"/>
          <w:szCs w:val="24"/>
        </w:rPr>
        <w:t>da, Allahabad Bank, Indian Overseas Bank, Dena Bank and State Bank of Bikaner and Jaipur</w:t>
      </w:r>
      <w:r>
        <w:rPr>
          <w:sz w:val="24"/>
          <w:szCs w:val="24"/>
        </w:rPr>
        <w:t xml:space="preserve"> </w:t>
      </w:r>
      <w:r w:rsidRPr="00031B07">
        <w:rPr>
          <w:b/>
          <w:sz w:val="24"/>
          <w:szCs w:val="24"/>
        </w:rPr>
        <w:t xml:space="preserve">rejected more than 200 RTI </w:t>
      </w:r>
      <w:r>
        <w:rPr>
          <w:b/>
          <w:sz w:val="24"/>
          <w:szCs w:val="24"/>
        </w:rPr>
        <w:t>applications each under “Others”</w:t>
      </w:r>
      <w:r w:rsidRPr="00031B07">
        <w:rPr>
          <w:b/>
          <w:sz w:val="24"/>
          <w:szCs w:val="24"/>
        </w:rPr>
        <w:t xml:space="preserve"> Category</w:t>
      </w:r>
      <w:r>
        <w:rPr>
          <w:sz w:val="24"/>
          <w:szCs w:val="24"/>
        </w:rPr>
        <w:t xml:space="preserve"> in 2016-17. While </w:t>
      </w:r>
      <w:r w:rsidRPr="004A014A">
        <w:rPr>
          <w:b/>
          <w:sz w:val="24"/>
          <w:szCs w:val="24"/>
        </w:rPr>
        <w:t>State Bank of India</w:t>
      </w:r>
      <w:r>
        <w:rPr>
          <w:sz w:val="24"/>
          <w:szCs w:val="24"/>
        </w:rPr>
        <w:t xml:space="preserve">  rejected more than 1,700 RTI applications in this manner, five PSBs (named after it sequentially in Graph 1.12 below) rejected more than 500 RTI applications each under this category;</w:t>
      </w:r>
    </w:p>
    <w:p w:rsidR="00BB792D" w:rsidRPr="00031B07" w:rsidRDefault="00BB792D" w:rsidP="00BB792D">
      <w:pPr>
        <w:pStyle w:val="ListParagraph"/>
        <w:ind w:left="360"/>
        <w:rPr>
          <w:sz w:val="24"/>
          <w:szCs w:val="24"/>
        </w:rPr>
      </w:pPr>
    </w:p>
    <w:p w:rsidR="00BB792D" w:rsidRDefault="00BB792D" w:rsidP="00BB792D">
      <w:pPr>
        <w:pStyle w:val="ListParagraph"/>
        <w:numPr>
          <w:ilvl w:val="0"/>
          <w:numId w:val="4"/>
        </w:numPr>
        <w:spacing w:after="0" w:line="240" w:lineRule="auto"/>
        <w:ind w:left="360"/>
        <w:jc w:val="both"/>
        <w:rPr>
          <w:sz w:val="24"/>
          <w:szCs w:val="24"/>
        </w:rPr>
      </w:pPr>
      <w:r w:rsidRPr="0069142F">
        <w:rPr>
          <w:b/>
          <w:sz w:val="24"/>
          <w:szCs w:val="24"/>
        </w:rPr>
        <w:t>8 Banks, namely UCO Bank, State Bank of Travancore, State Bank of Patiala, Vijaya Bank, Punjab and Sind Bank, State Bank of Mysore, Bank of Maharashtra and United Bank of India rejected less than a 100 RTI applications under “Others” category</w:t>
      </w:r>
      <w:r>
        <w:rPr>
          <w:sz w:val="24"/>
          <w:szCs w:val="24"/>
        </w:rPr>
        <w:t xml:space="preserve">. </w:t>
      </w:r>
      <w:r w:rsidRPr="0069142F">
        <w:rPr>
          <w:b/>
          <w:sz w:val="24"/>
          <w:szCs w:val="24"/>
        </w:rPr>
        <w:t>United Bank of India used this category to reject only 5 RTI applications under “Others”</w:t>
      </w:r>
      <w:r>
        <w:rPr>
          <w:sz w:val="24"/>
          <w:szCs w:val="24"/>
        </w:rPr>
        <w:t xml:space="preserve"> category  even though there was a more than 600% increase in the number of RTI applications it received as compared to the previous year (see Graphs 1.13 and 1.2 below);</w:t>
      </w:r>
    </w:p>
    <w:p w:rsidR="00BB792D" w:rsidRPr="0069142F" w:rsidRDefault="00BB792D" w:rsidP="00BB792D">
      <w:pPr>
        <w:pStyle w:val="ListParagraph"/>
        <w:ind w:left="360"/>
        <w:rPr>
          <w:sz w:val="24"/>
          <w:szCs w:val="24"/>
        </w:rPr>
      </w:pPr>
    </w:p>
    <w:p w:rsidR="00BB792D" w:rsidRDefault="00BB792D" w:rsidP="00BB792D">
      <w:pPr>
        <w:pStyle w:val="ListParagraph"/>
        <w:numPr>
          <w:ilvl w:val="0"/>
          <w:numId w:val="4"/>
        </w:numPr>
        <w:spacing w:after="0" w:line="240" w:lineRule="auto"/>
        <w:ind w:left="360"/>
        <w:jc w:val="both"/>
        <w:rPr>
          <w:sz w:val="24"/>
          <w:szCs w:val="24"/>
        </w:rPr>
      </w:pPr>
      <w:r w:rsidRPr="0066173C">
        <w:rPr>
          <w:b/>
          <w:sz w:val="24"/>
          <w:szCs w:val="24"/>
        </w:rPr>
        <w:t>Only 2PSBs, namely, Indian Bank and Union Bank of India did not reject any RTI application under “Other” category</w:t>
      </w:r>
      <w:r>
        <w:rPr>
          <w:sz w:val="24"/>
          <w:szCs w:val="24"/>
        </w:rPr>
        <w:t>;</w:t>
      </w:r>
    </w:p>
    <w:p w:rsidR="00BB792D" w:rsidRPr="0066173C" w:rsidRDefault="00BB792D" w:rsidP="00BB792D">
      <w:pPr>
        <w:pStyle w:val="ListParagraph"/>
        <w:ind w:left="360"/>
        <w:rPr>
          <w:sz w:val="24"/>
          <w:szCs w:val="24"/>
        </w:rPr>
      </w:pPr>
    </w:p>
    <w:p w:rsidR="00BB792D" w:rsidRDefault="00BB792D" w:rsidP="00BB792D">
      <w:pPr>
        <w:pStyle w:val="ListParagraph"/>
        <w:numPr>
          <w:ilvl w:val="0"/>
          <w:numId w:val="4"/>
        </w:numPr>
        <w:spacing w:after="0" w:line="240" w:lineRule="auto"/>
        <w:ind w:left="360"/>
        <w:jc w:val="both"/>
        <w:rPr>
          <w:sz w:val="24"/>
          <w:szCs w:val="24"/>
        </w:rPr>
      </w:pPr>
      <w:r w:rsidRPr="0066173C">
        <w:rPr>
          <w:b/>
          <w:sz w:val="24"/>
          <w:szCs w:val="24"/>
        </w:rPr>
        <w:t xml:space="preserve">3 PSBs, </w:t>
      </w:r>
      <w:r>
        <w:rPr>
          <w:b/>
          <w:sz w:val="24"/>
          <w:szCs w:val="24"/>
        </w:rPr>
        <w:t>namely, Syndicate Bank (7) and</w:t>
      </w:r>
      <w:r w:rsidRPr="0066173C">
        <w:rPr>
          <w:b/>
          <w:sz w:val="24"/>
          <w:szCs w:val="24"/>
        </w:rPr>
        <w:t xml:space="preserve"> Allahabad Bank and Punjab and Sind Bank (5 each) rejected RTI application</w:t>
      </w:r>
      <w:r>
        <w:rPr>
          <w:b/>
          <w:sz w:val="24"/>
          <w:szCs w:val="24"/>
        </w:rPr>
        <w:t>s</w:t>
      </w:r>
      <w:r w:rsidRPr="0066173C">
        <w:rPr>
          <w:b/>
          <w:sz w:val="24"/>
          <w:szCs w:val="24"/>
        </w:rPr>
        <w:t xml:space="preserve"> under Section 24 of the RTI Act</w:t>
      </w:r>
      <w:r>
        <w:rPr>
          <w:b/>
          <w:sz w:val="24"/>
          <w:szCs w:val="24"/>
        </w:rPr>
        <w:t xml:space="preserve"> </w:t>
      </w:r>
      <w:r>
        <w:rPr>
          <w:sz w:val="24"/>
          <w:szCs w:val="24"/>
        </w:rPr>
        <w:t>(See Graph 1.15). Section 24 exempts notified intelligence and security organisations from the ordinary obligations of transparency applicable to other public authorities. It also excludes any information that such exempt organisations give to the Government which notifies them under Section 24 of the Act. None of the PSBs are exempt under Section 24 of the RTI Act, so the bar on disclosure will not apply to them. As to how these 3 PSBs could legitimately claim the protection of Section 24 is a mystery. An examination of these RTI applications and responses will be required. However, the RTI applications that they processed in 2016-17 are not available on their official website;</w:t>
      </w:r>
      <w:r>
        <w:rPr>
          <w:rStyle w:val="FootnoteReference"/>
          <w:sz w:val="24"/>
          <w:szCs w:val="24"/>
        </w:rPr>
        <w:footnoteReference w:id="2"/>
      </w:r>
      <w:r>
        <w:rPr>
          <w:sz w:val="24"/>
          <w:szCs w:val="24"/>
        </w:rPr>
        <w:t xml:space="preserve"> </w:t>
      </w:r>
    </w:p>
    <w:p w:rsidR="00BB792D" w:rsidRPr="0039369E" w:rsidRDefault="00BB792D" w:rsidP="00BB792D">
      <w:pPr>
        <w:pStyle w:val="ListParagraph"/>
        <w:ind w:left="360"/>
        <w:rPr>
          <w:sz w:val="24"/>
          <w:szCs w:val="24"/>
        </w:rPr>
      </w:pPr>
    </w:p>
    <w:p w:rsidR="00BB792D" w:rsidRDefault="00BB792D" w:rsidP="00BB792D">
      <w:pPr>
        <w:pStyle w:val="ListParagraph"/>
        <w:numPr>
          <w:ilvl w:val="0"/>
          <w:numId w:val="4"/>
        </w:numPr>
        <w:spacing w:after="0" w:line="240" w:lineRule="auto"/>
        <w:ind w:left="360"/>
        <w:jc w:val="both"/>
        <w:rPr>
          <w:sz w:val="24"/>
          <w:szCs w:val="24"/>
        </w:rPr>
      </w:pPr>
      <w:r w:rsidRPr="008938B8">
        <w:rPr>
          <w:b/>
          <w:sz w:val="24"/>
          <w:szCs w:val="24"/>
        </w:rPr>
        <w:t>9 PSBs invoked Section 8(1)(f) of the RTI Act to reject 164 RTI applications in 2016-17</w:t>
      </w:r>
      <w:r>
        <w:rPr>
          <w:sz w:val="24"/>
          <w:szCs w:val="24"/>
        </w:rPr>
        <w:t xml:space="preserve"> (see Graph 1.26 below). </w:t>
      </w:r>
      <w:r w:rsidRPr="008938B8">
        <w:rPr>
          <w:b/>
          <w:sz w:val="24"/>
          <w:szCs w:val="24"/>
        </w:rPr>
        <w:t>Vijaya Bank employed this exemption to reject 47 RTI applications during this period while Allahabad Bank, State Bank of Patiala and State Bank of Hyderabad employed this exemption to reject between 20-30 RTI applications</w:t>
      </w:r>
      <w:r>
        <w:rPr>
          <w:sz w:val="24"/>
          <w:szCs w:val="24"/>
        </w:rPr>
        <w:t xml:space="preserve"> (see Graph 1.26 below). </w:t>
      </w:r>
    </w:p>
    <w:p w:rsidR="00BB792D" w:rsidRPr="000B4D6D" w:rsidRDefault="00BB792D" w:rsidP="00BB792D">
      <w:pPr>
        <w:pStyle w:val="ListParagraph"/>
        <w:rPr>
          <w:sz w:val="24"/>
          <w:szCs w:val="24"/>
        </w:rPr>
      </w:pPr>
    </w:p>
    <w:p w:rsidR="00BB792D" w:rsidRDefault="00BB792D" w:rsidP="00BB792D">
      <w:pPr>
        <w:pStyle w:val="ListParagraph"/>
        <w:spacing w:after="0" w:line="240" w:lineRule="auto"/>
        <w:ind w:left="360"/>
        <w:jc w:val="both"/>
        <w:rPr>
          <w:sz w:val="24"/>
          <w:szCs w:val="24"/>
        </w:rPr>
      </w:pPr>
      <w:r>
        <w:rPr>
          <w:sz w:val="24"/>
          <w:szCs w:val="24"/>
        </w:rPr>
        <w:t xml:space="preserve">Section 8(1)(f) exempts information that is received in confidence from a foreign Government. An important question that must be asked is how and why PSBs are receiving information from foreign Governments in the course of their routine business. It is the Finance Ministry, or the Ministry of External Affairs or any other Department under the Government of India that is competent to communicate with foreign governments. </w:t>
      </w:r>
      <w:r w:rsidRPr="00931D3C">
        <w:rPr>
          <w:b/>
          <w:sz w:val="24"/>
          <w:szCs w:val="24"/>
        </w:rPr>
        <w:t>Interestingly, RBI did not employ Section 8(1)(f) to reject any RTI application</w:t>
      </w:r>
      <w:r>
        <w:rPr>
          <w:b/>
          <w:sz w:val="24"/>
          <w:szCs w:val="24"/>
        </w:rPr>
        <w:t xml:space="preserve"> in 2016-17</w:t>
      </w:r>
      <w:r w:rsidRPr="00931D3C">
        <w:rPr>
          <w:b/>
          <w:sz w:val="24"/>
          <w:szCs w:val="24"/>
        </w:rPr>
        <w:t>, nor did any of the remaining 16 PSBs</w:t>
      </w:r>
      <w:r>
        <w:rPr>
          <w:sz w:val="24"/>
          <w:szCs w:val="24"/>
        </w:rPr>
        <w:t>. The use of Section 8(1)(f) by PSBs to reject RTI applications requires deeper probing;</w:t>
      </w:r>
    </w:p>
    <w:p w:rsidR="00BB792D" w:rsidRPr="00C816DE" w:rsidRDefault="00BB792D" w:rsidP="00BB792D">
      <w:pPr>
        <w:pStyle w:val="ListParagraph"/>
        <w:ind w:left="360"/>
        <w:rPr>
          <w:sz w:val="24"/>
          <w:szCs w:val="24"/>
        </w:rPr>
      </w:pPr>
    </w:p>
    <w:p w:rsidR="00BB792D" w:rsidRDefault="00BB792D" w:rsidP="00BB792D">
      <w:pPr>
        <w:pStyle w:val="ListParagraph"/>
        <w:numPr>
          <w:ilvl w:val="0"/>
          <w:numId w:val="4"/>
        </w:numPr>
        <w:spacing w:after="0" w:line="240" w:lineRule="auto"/>
        <w:ind w:left="360"/>
        <w:jc w:val="both"/>
        <w:rPr>
          <w:sz w:val="24"/>
          <w:szCs w:val="24"/>
        </w:rPr>
      </w:pPr>
      <w:r w:rsidRPr="00F743A8">
        <w:rPr>
          <w:b/>
          <w:sz w:val="24"/>
          <w:szCs w:val="24"/>
        </w:rPr>
        <w:t xml:space="preserve">All 25 PSBs and RBI invoked Section 8(1)(e) of the RTI Act to reject between 6 to more than 900 RTI applications </w:t>
      </w:r>
      <w:r>
        <w:rPr>
          <w:sz w:val="24"/>
          <w:szCs w:val="24"/>
        </w:rPr>
        <w:t xml:space="preserve">(see Graph 1.27 below). </w:t>
      </w:r>
      <w:r w:rsidRPr="00727866">
        <w:rPr>
          <w:b/>
          <w:sz w:val="24"/>
          <w:szCs w:val="24"/>
        </w:rPr>
        <w:t xml:space="preserve">State Bank of India invoked Section 8(1)(e) to reject 902 RTI applications </w:t>
      </w:r>
      <w:r>
        <w:rPr>
          <w:sz w:val="24"/>
          <w:szCs w:val="24"/>
        </w:rPr>
        <w:t xml:space="preserve">– </w:t>
      </w:r>
      <w:r w:rsidRPr="00727866">
        <w:rPr>
          <w:b/>
          <w:sz w:val="24"/>
          <w:szCs w:val="24"/>
        </w:rPr>
        <w:t>almost three times more than Syndicate Bank and Canara Bank (both of which rejected more than 380 RTI applications each</w:t>
      </w:r>
      <w:r w:rsidRPr="00727866">
        <w:rPr>
          <w:sz w:val="24"/>
          <w:szCs w:val="24"/>
        </w:rPr>
        <w:t xml:space="preserve">). State Bank of Mysore (13), Dena Bank (12) and RBI (6) used Section 8(1)(e) </w:t>
      </w:r>
      <w:r w:rsidR="00BA55A5">
        <w:rPr>
          <w:sz w:val="24"/>
          <w:szCs w:val="24"/>
        </w:rPr>
        <w:t xml:space="preserve">the </w:t>
      </w:r>
      <w:r w:rsidRPr="00727866">
        <w:rPr>
          <w:sz w:val="24"/>
          <w:szCs w:val="24"/>
        </w:rPr>
        <w:t>least number of times to reject RTI applications</w:t>
      </w:r>
      <w:r>
        <w:rPr>
          <w:sz w:val="24"/>
          <w:szCs w:val="24"/>
        </w:rPr>
        <w:t xml:space="preserve"> (see Graph 1.27 below);</w:t>
      </w:r>
    </w:p>
    <w:p w:rsidR="00BB792D" w:rsidRPr="00806487" w:rsidRDefault="00BB792D" w:rsidP="00BB792D">
      <w:pPr>
        <w:pStyle w:val="ListParagraph"/>
        <w:rPr>
          <w:sz w:val="24"/>
          <w:szCs w:val="24"/>
        </w:rPr>
      </w:pPr>
    </w:p>
    <w:p w:rsidR="00BB792D" w:rsidRDefault="00BB792D" w:rsidP="00BB792D">
      <w:pPr>
        <w:pStyle w:val="ListParagraph"/>
        <w:spacing w:after="0" w:line="240" w:lineRule="auto"/>
        <w:ind w:left="360"/>
        <w:jc w:val="both"/>
        <w:rPr>
          <w:sz w:val="24"/>
          <w:szCs w:val="24"/>
        </w:rPr>
      </w:pPr>
      <w:r>
        <w:rPr>
          <w:sz w:val="24"/>
          <w:szCs w:val="24"/>
        </w:rPr>
        <w:t xml:space="preserve">Section 8(1)(e) of the RTI Act exempts information that is available to a person in his fiduciary relationship. Fiduciary relationships are trust-based relationships such as those between a doctor and a patient, a lawyer and a client, parents and their children, managers of orphanages and the wards living there. </w:t>
      </w:r>
      <w:r w:rsidRPr="00727866">
        <w:rPr>
          <w:b/>
          <w:sz w:val="24"/>
          <w:szCs w:val="24"/>
          <w:u w:val="single"/>
        </w:rPr>
        <w:t xml:space="preserve">In its Master Circular of </w:t>
      </w:r>
      <w:r w:rsidR="00BA55A5">
        <w:rPr>
          <w:b/>
          <w:sz w:val="24"/>
          <w:szCs w:val="24"/>
          <w:u w:val="single"/>
        </w:rPr>
        <w:t xml:space="preserve">July </w:t>
      </w:r>
      <w:r w:rsidRPr="00727866">
        <w:rPr>
          <w:b/>
          <w:sz w:val="24"/>
          <w:szCs w:val="24"/>
          <w:u w:val="single"/>
        </w:rPr>
        <w:t>2014, RBI has advised Banks that their obligation to maintain secrecy of customer-related information arises out of a contractual relationship with the customer</w:t>
      </w:r>
      <w:r>
        <w:rPr>
          <w:sz w:val="24"/>
          <w:szCs w:val="24"/>
        </w:rPr>
        <w:t>.</w:t>
      </w:r>
      <w:r>
        <w:rPr>
          <w:rStyle w:val="FootnoteReference"/>
          <w:sz w:val="24"/>
          <w:szCs w:val="24"/>
        </w:rPr>
        <w:footnoteReference w:id="3"/>
      </w:r>
      <w:r>
        <w:rPr>
          <w:sz w:val="24"/>
          <w:szCs w:val="24"/>
        </w:rPr>
        <w:t xml:space="preserve"> </w:t>
      </w:r>
      <w:r w:rsidRPr="00727866">
        <w:rPr>
          <w:sz w:val="24"/>
          <w:szCs w:val="24"/>
        </w:rPr>
        <w:t>There is no reference to a fiduciary relationship between a Bank and its customer in this Master Circular.</w:t>
      </w:r>
      <w:r>
        <w:rPr>
          <w:sz w:val="24"/>
          <w:szCs w:val="24"/>
        </w:rPr>
        <w:t xml:space="preserve"> Further, Section 8(1)(e) uses the phrase “information available to a person in his fiduciary relationship” while exempting such information. Clearly, the law seeks to protect information available to a natural individual instead of an artificial juridical entity like PSBs. So what kinds of information are being denied by PSBs by treating them as information available in a “fiduciary relationship” with the Banks needs further examination; </w:t>
      </w:r>
    </w:p>
    <w:p w:rsidR="00BB792D" w:rsidRDefault="00BB792D" w:rsidP="00BB792D">
      <w:pPr>
        <w:pStyle w:val="ListParagraph"/>
        <w:spacing w:after="0" w:line="240" w:lineRule="auto"/>
        <w:ind w:left="360"/>
        <w:jc w:val="both"/>
        <w:rPr>
          <w:sz w:val="24"/>
          <w:szCs w:val="24"/>
        </w:rPr>
      </w:pPr>
    </w:p>
    <w:p w:rsidR="00BB792D" w:rsidRDefault="00BB792D" w:rsidP="00BB792D">
      <w:pPr>
        <w:pStyle w:val="ListParagraph"/>
        <w:numPr>
          <w:ilvl w:val="0"/>
          <w:numId w:val="5"/>
        </w:numPr>
        <w:spacing w:after="0" w:line="240" w:lineRule="auto"/>
        <w:ind w:left="360"/>
        <w:jc w:val="both"/>
        <w:rPr>
          <w:sz w:val="24"/>
          <w:szCs w:val="24"/>
        </w:rPr>
      </w:pPr>
      <w:r w:rsidRPr="00F1075E">
        <w:rPr>
          <w:b/>
          <w:sz w:val="24"/>
          <w:szCs w:val="24"/>
        </w:rPr>
        <w:t xml:space="preserve">10 PSBs invoked the Cabinet-related exemption of the RTI Act </w:t>
      </w:r>
      <w:r w:rsidR="00444BA3">
        <w:rPr>
          <w:sz w:val="24"/>
          <w:szCs w:val="24"/>
        </w:rPr>
        <w:t xml:space="preserve">[Section 8(1)(i)] </w:t>
      </w:r>
      <w:r w:rsidRPr="00F1075E">
        <w:rPr>
          <w:b/>
          <w:sz w:val="24"/>
          <w:szCs w:val="24"/>
        </w:rPr>
        <w:t>to reject 2</w:t>
      </w:r>
      <w:r>
        <w:rPr>
          <w:b/>
          <w:sz w:val="24"/>
          <w:szCs w:val="24"/>
        </w:rPr>
        <w:t>23</w:t>
      </w:r>
      <w:r w:rsidRPr="00F1075E">
        <w:rPr>
          <w:b/>
          <w:sz w:val="24"/>
          <w:szCs w:val="24"/>
        </w:rPr>
        <w:t xml:space="preserve"> RTI applications in 2016-17</w:t>
      </w:r>
      <w:r>
        <w:rPr>
          <w:sz w:val="24"/>
          <w:szCs w:val="24"/>
        </w:rPr>
        <w:t xml:space="preserve"> (see Graph 1.21 below). Interestingly, 2/3</w:t>
      </w:r>
      <w:r w:rsidRPr="003327C5">
        <w:rPr>
          <w:sz w:val="24"/>
          <w:szCs w:val="24"/>
          <w:vertAlign w:val="superscript"/>
        </w:rPr>
        <w:t>rd</w:t>
      </w:r>
      <w:r>
        <w:rPr>
          <w:sz w:val="24"/>
          <w:szCs w:val="24"/>
          <w:vertAlign w:val="superscript"/>
        </w:rPr>
        <w:t>s</w:t>
      </w:r>
      <w:r>
        <w:rPr>
          <w:sz w:val="24"/>
          <w:szCs w:val="24"/>
        </w:rPr>
        <w:t xml:space="preserve"> of these RTI applications were rejected by only 2 PSBs, namely, </w:t>
      </w:r>
      <w:r>
        <w:rPr>
          <w:b/>
          <w:sz w:val="24"/>
          <w:szCs w:val="24"/>
        </w:rPr>
        <w:t xml:space="preserve">State Bank </w:t>
      </w:r>
      <w:r w:rsidRPr="00F1075E">
        <w:rPr>
          <w:b/>
          <w:sz w:val="24"/>
          <w:szCs w:val="24"/>
        </w:rPr>
        <w:t>of India a</w:t>
      </w:r>
      <w:r>
        <w:rPr>
          <w:b/>
          <w:sz w:val="24"/>
          <w:szCs w:val="24"/>
        </w:rPr>
        <w:t>n</w:t>
      </w:r>
      <w:r w:rsidRPr="00F1075E">
        <w:rPr>
          <w:b/>
          <w:sz w:val="24"/>
          <w:szCs w:val="24"/>
        </w:rPr>
        <w:t>d Corporation Bank</w:t>
      </w:r>
      <w:r>
        <w:rPr>
          <w:b/>
          <w:sz w:val="24"/>
          <w:szCs w:val="24"/>
        </w:rPr>
        <w:t xml:space="preserve">. </w:t>
      </w:r>
      <w:r w:rsidRPr="00F1075E">
        <w:rPr>
          <w:b/>
          <w:sz w:val="24"/>
          <w:szCs w:val="24"/>
        </w:rPr>
        <w:t xml:space="preserve"> RBI did not invoke this exemption even once</w:t>
      </w:r>
      <w:r>
        <w:rPr>
          <w:sz w:val="24"/>
          <w:szCs w:val="24"/>
        </w:rPr>
        <w:t xml:space="preserve"> during this period (see Graph 1.21 and Pie Chart 1.11 below). Section 8(1)(i) is strictly connected with Cabinet-related matters. Given the probability that these two Banks might not have sent such a large number of proposals for the consideration of the Union Cabinet, the legitimacy of invoking Section 8(1)(i) of the Act to reject so many RTI applications is moot. It is also probable that several citizens might have sought information about a very small number of proposals sent by these PSBs to the Union Cabinet. So whether these PSBs invoked the Cabinet-related exemption legitimately can be ascertained only through an in-depth study of the relevant RTI applications.</w:t>
      </w:r>
    </w:p>
    <w:p w:rsidR="0099686B" w:rsidRDefault="0099686B" w:rsidP="00BB792D">
      <w:pPr>
        <w:spacing w:after="0" w:line="240" w:lineRule="auto"/>
        <w:ind w:left="360" w:hanging="360"/>
        <w:jc w:val="both"/>
        <w:rPr>
          <w:b/>
          <w:i/>
          <w:sz w:val="28"/>
          <w:szCs w:val="24"/>
        </w:rPr>
      </w:pPr>
    </w:p>
    <w:p w:rsidR="00BB792D" w:rsidRDefault="00BB792D" w:rsidP="00BB792D">
      <w:pPr>
        <w:spacing w:after="0" w:line="240" w:lineRule="auto"/>
        <w:ind w:left="360" w:hanging="360"/>
        <w:jc w:val="both"/>
        <w:rPr>
          <w:b/>
          <w:sz w:val="24"/>
          <w:szCs w:val="24"/>
        </w:rPr>
      </w:pPr>
      <w:r w:rsidRPr="00285C75">
        <w:rPr>
          <w:b/>
          <w:i/>
          <w:sz w:val="28"/>
          <w:szCs w:val="24"/>
        </w:rPr>
        <w:t xml:space="preserve">V. </w:t>
      </w:r>
      <w:r w:rsidRPr="00285C75">
        <w:rPr>
          <w:b/>
          <w:i/>
          <w:sz w:val="28"/>
          <w:szCs w:val="24"/>
          <w:u w:val="single"/>
        </w:rPr>
        <w:t>Trends in the Banks’ use of legitimate exemptions</w:t>
      </w:r>
      <w:r w:rsidRPr="00285C75">
        <w:rPr>
          <w:b/>
          <w:sz w:val="28"/>
          <w:szCs w:val="28"/>
        </w:rPr>
        <w:t>:</w:t>
      </w:r>
    </w:p>
    <w:p w:rsidR="00BB792D" w:rsidRDefault="00BB792D" w:rsidP="00BB792D">
      <w:pPr>
        <w:spacing w:after="0" w:line="240" w:lineRule="auto"/>
        <w:jc w:val="both"/>
        <w:rPr>
          <w:sz w:val="24"/>
          <w:szCs w:val="24"/>
        </w:rPr>
      </w:pPr>
      <w:r w:rsidRPr="00C816DE">
        <w:rPr>
          <w:sz w:val="24"/>
          <w:szCs w:val="24"/>
        </w:rPr>
        <w:t xml:space="preserve">This segments contains our findings </w:t>
      </w:r>
      <w:r>
        <w:rPr>
          <w:sz w:val="24"/>
          <w:szCs w:val="24"/>
        </w:rPr>
        <w:t>about the manner in which other exemptions were invoked by PSBs to reject RTI applications:</w:t>
      </w:r>
    </w:p>
    <w:p w:rsidR="00BB792D" w:rsidRDefault="00BB792D" w:rsidP="00BB792D">
      <w:pPr>
        <w:spacing w:after="0" w:line="240" w:lineRule="auto"/>
        <w:jc w:val="both"/>
        <w:rPr>
          <w:sz w:val="24"/>
          <w:szCs w:val="24"/>
        </w:rPr>
      </w:pPr>
    </w:p>
    <w:p w:rsidR="00BB792D" w:rsidRDefault="00BB792D" w:rsidP="00BB792D">
      <w:pPr>
        <w:pStyle w:val="ListParagraph"/>
        <w:numPr>
          <w:ilvl w:val="0"/>
          <w:numId w:val="5"/>
        </w:numPr>
        <w:spacing w:after="0" w:line="240" w:lineRule="auto"/>
        <w:ind w:left="360"/>
        <w:jc w:val="both"/>
        <w:rPr>
          <w:sz w:val="24"/>
          <w:szCs w:val="24"/>
        </w:rPr>
      </w:pPr>
      <w:r>
        <w:rPr>
          <w:sz w:val="24"/>
          <w:szCs w:val="24"/>
        </w:rPr>
        <w:lastRenderedPageBreak/>
        <w:t>The frequency with which the legally permissible exemptions are invoked by PSBs are as under in descending order (see Pie Chart 1.10 below):</w:t>
      </w:r>
    </w:p>
    <w:p w:rsidR="00BB792D" w:rsidRPr="0042400A" w:rsidRDefault="00BB792D" w:rsidP="00BB792D">
      <w:pPr>
        <w:pStyle w:val="ListParagraph"/>
        <w:spacing w:before="120" w:after="0" w:line="240" w:lineRule="auto"/>
        <w:ind w:left="360"/>
        <w:contextualSpacing w:val="0"/>
        <w:jc w:val="both"/>
        <w:rPr>
          <w:b/>
          <w:sz w:val="24"/>
          <w:szCs w:val="24"/>
        </w:rPr>
      </w:pPr>
      <w:r>
        <w:rPr>
          <w:sz w:val="24"/>
          <w:szCs w:val="24"/>
        </w:rPr>
        <w:t>(</w:t>
      </w:r>
      <w:r w:rsidRPr="0042400A">
        <w:rPr>
          <w:b/>
          <w:sz w:val="24"/>
          <w:szCs w:val="24"/>
        </w:rPr>
        <w:t>1</w:t>
      </w:r>
      <w:r>
        <w:rPr>
          <w:sz w:val="24"/>
          <w:szCs w:val="24"/>
        </w:rPr>
        <w:t>) Section 8(1)(j); (</w:t>
      </w:r>
      <w:r>
        <w:rPr>
          <w:b/>
          <w:sz w:val="24"/>
          <w:szCs w:val="24"/>
        </w:rPr>
        <w:t>2</w:t>
      </w:r>
      <w:r>
        <w:rPr>
          <w:sz w:val="24"/>
          <w:szCs w:val="24"/>
        </w:rPr>
        <w:t>) Section 8(1)(e); (</w:t>
      </w:r>
      <w:r>
        <w:rPr>
          <w:b/>
          <w:sz w:val="24"/>
          <w:szCs w:val="24"/>
        </w:rPr>
        <w:t>3</w:t>
      </w:r>
      <w:r>
        <w:rPr>
          <w:sz w:val="24"/>
          <w:szCs w:val="24"/>
        </w:rPr>
        <w:t>) Section 8(1)(d); (</w:t>
      </w:r>
      <w:r>
        <w:rPr>
          <w:b/>
          <w:sz w:val="24"/>
          <w:szCs w:val="24"/>
        </w:rPr>
        <w:t>4</w:t>
      </w:r>
      <w:r>
        <w:rPr>
          <w:sz w:val="24"/>
          <w:szCs w:val="24"/>
        </w:rPr>
        <w:t>) Section 8(1)(h); (</w:t>
      </w:r>
      <w:r>
        <w:rPr>
          <w:b/>
          <w:sz w:val="24"/>
          <w:szCs w:val="24"/>
        </w:rPr>
        <w:t>5</w:t>
      </w:r>
      <w:r>
        <w:rPr>
          <w:sz w:val="24"/>
          <w:szCs w:val="24"/>
        </w:rPr>
        <w:t>) Section 8(1)(g); (</w:t>
      </w:r>
      <w:r>
        <w:rPr>
          <w:b/>
          <w:sz w:val="24"/>
          <w:szCs w:val="24"/>
        </w:rPr>
        <w:t>6</w:t>
      </w:r>
      <w:r>
        <w:rPr>
          <w:sz w:val="24"/>
          <w:szCs w:val="24"/>
        </w:rPr>
        <w:t>) Section 8(1)(i); (</w:t>
      </w:r>
      <w:r>
        <w:rPr>
          <w:b/>
          <w:sz w:val="24"/>
          <w:szCs w:val="24"/>
        </w:rPr>
        <w:t>7</w:t>
      </w:r>
      <w:r>
        <w:rPr>
          <w:sz w:val="24"/>
          <w:szCs w:val="24"/>
        </w:rPr>
        <w:t>) Section 11; (</w:t>
      </w:r>
      <w:r w:rsidRPr="0042400A">
        <w:rPr>
          <w:b/>
          <w:sz w:val="24"/>
          <w:szCs w:val="24"/>
        </w:rPr>
        <w:t>8</w:t>
      </w:r>
      <w:r>
        <w:rPr>
          <w:sz w:val="24"/>
          <w:szCs w:val="24"/>
        </w:rPr>
        <w:t xml:space="preserve">) </w:t>
      </w:r>
      <w:r w:rsidRPr="0042400A">
        <w:rPr>
          <w:sz w:val="24"/>
          <w:szCs w:val="24"/>
        </w:rPr>
        <w:t>Section</w:t>
      </w:r>
      <w:r>
        <w:rPr>
          <w:sz w:val="24"/>
          <w:szCs w:val="24"/>
        </w:rPr>
        <w:t xml:space="preserve"> 9; (</w:t>
      </w:r>
      <w:r w:rsidRPr="0042400A">
        <w:rPr>
          <w:b/>
          <w:sz w:val="24"/>
          <w:szCs w:val="24"/>
        </w:rPr>
        <w:t>9</w:t>
      </w:r>
      <w:r>
        <w:rPr>
          <w:sz w:val="24"/>
          <w:szCs w:val="24"/>
        </w:rPr>
        <w:t xml:space="preserve">) Section </w:t>
      </w:r>
      <w:r w:rsidRPr="0042400A">
        <w:rPr>
          <w:sz w:val="24"/>
          <w:szCs w:val="24"/>
        </w:rPr>
        <w:t>8</w:t>
      </w:r>
      <w:r>
        <w:rPr>
          <w:sz w:val="24"/>
          <w:szCs w:val="24"/>
        </w:rPr>
        <w:t>(1)(f); (</w:t>
      </w:r>
      <w:r>
        <w:rPr>
          <w:b/>
          <w:sz w:val="24"/>
          <w:szCs w:val="24"/>
        </w:rPr>
        <w:t>10</w:t>
      </w:r>
      <w:r>
        <w:rPr>
          <w:sz w:val="24"/>
          <w:szCs w:val="24"/>
        </w:rPr>
        <w:t>) Section 24; (</w:t>
      </w:r>
      <w:r w:rsidRPr="0042400A">
        <w:rPr>
          <w:b/>
          <w:sz w:val="24"/>
          <w:szCs w:val="24"/>
        </w:rPr>
        <w:t>11</w:t>
      </w:r>
      <w:r>
        <w:rPr>
          <w:sz w:val="24"/>
          <w:szCs w:val="24"/>
        </w:rPr>
        <w:t>) Section 8(1)(a); (</w:t>
      </w:r>
      <w:r>
        <w:rPr>
          <w:b/>
          <w:sz w:val="24"/>
          <w:szCs w:val="24"/>
        </w:rPr>
        <w:t>12</w:t>
      </w:r>
      <w:r>
        <w:rPr>
          <w:sz w:val="24"/>
          <w:szCs w:val="24"/>
        </w:rPr>
        <w:t>) Section 8(1)(b) and (13) Section 8(1)(c).</w:t>
      </w:r>
    </w:p>
    <w:p w:rsidR="00BB792D" w:rsidRPr="0042400A" w:rsidRDefault="00BB792D" w:rsidP="00BB792D">
      <w:pPr>
        <w:pStyle w:val="ListParagraph"/>
        <w:spacing w:after="0" w:line="240" w:lineRule="auto"/>
        <w:ind w:left="360"/>
        <w:jc w:val="both"/>
        <w:rPr>
          <w:sz w:val="24"/>
          <w:szCs w:val="24"/>
        </w:rPr>
      </w:pPr>
    </w:p>
    <w:p w:rsidR="00BB792D" w:rsidRDefault="00BB792D" w:rsidP="00BB792D">
      <w:pPr>
        <w:pStyle w:val="ListParagraph"/>
        <w:numPr>
          <w:ilvl w:val="0"/>
          <w:numId w:val="5"/>
        </w:numPr>
        <w:spacing w:after="0" w:line="240" w:lineRule="auto"/>
        <w:ind w:left="360"/>
        <w:jc w:val="both"/>
        <w:rPr>
          <w:sz w:val="24"/>
          <w:szCs w:val="24"/>
        </w:rPr>
      </w:pPr>
      <w:r w:rsidRPr="00BD455E">
        <w:rPr>
          <w:b/>
          <w:sz w:val="24"/>
          <w:szCs w:val="24"/>
        </w:rPr>
        <w:t xml:space="preserve">Section 8(1)(j) of the RTI Act was </w:t>
      </w:r>
      <w:r>
        <w:rPr>
          <w:b/>
          <w:sz w:val="24"/>
          <w:szCs w:val="24"/>
        </w:rPr>
        <w:t xml:space="preserve">the </w:t>
      </w:r>
      <w:r w:rsidRPr="00BD455E">
        <w:rPr>
          <w:b/>
          <w:sz w:val="24"/>
          <w:szCs w:val="24"/>
        </w:rPr>
        <w:t xml:space="preserve">most frequently invoked </w:t>
      </w:r>
      <w:r>
        <w:rPr>
          <w:b/>
          <w:sz w:val="24"/>
          <w:szCs w:val="24"/>
        </w:rPr>
        <w:t xml:space="preserve">of legally permissible exemptions </w:t>
      </w:r>
      <w:r w:rsidRPr="00BD455E">
        <w:rPr>
          <w:b/>
          <w:sz w:val="24"/>
          <w:szCs w:val="24"/>
        </w:rPr>
        <w:t>in 2016-17</w:t>
      </w:r>
      <w:r>
        <w:rPr>
          <w:sz w:val="24"/>
          <w:szCs w:val="24"/>
        </w:rPr>
        <w:t xml:space="preserve">. Under this provision the disclosure of personal information of an individual whose privacy must be protected is exempt. </w:t>
      </w:r>
      <w:r w:rsidRPr="00727866">
        <w:rPr>
          <w:b/>
          <w:sz w:val="24"/>
          <w:szCs w:val="24"/>
        </w:rPr>
        <w:t>State</w:t>
      </w:r>
      <w:r>
        <w:rPr>
          <w:sz w:val="24"/>
          <w:szCs w:val="24"/>
        </w:rPr>
        <w:t xml:space="preserve"> </w:t>
      </w:r>
      <w:r w:rsidRPr="00BD455E">
        <w:rPr>
          <w:b/>
          <w:sz w:val="24"/>
          <w:szCs w:val="24"/>
        </w:rPr>
        <w:t>Bank of India invoked this exemption to reject more than 1,100 RTI applications along with 10 other PSBs that rejected more than 200 RTI applications</w:t>
      </w:r>
      <w:r>
        <w:rPr>
          <w:sz w:val="24"/>
          <w:szCs w:val="24"/>
        </w:rPr>
        <w:t xml:space="preserve"> by invoking this exemption (see Graph 1.18 below). </w:t>
      </w:r>
      <w:r w:rsidRPr="00BD455E">
        <w:rPr>
          <w:b/>
          <w:sz w:val="24"/>
          <w:szCs w:val="24"/>
        </w:rPr>
        <w:t xml:space="preserve">7 PSBs invoked this exemption to reject between 100-200 RTI applications in 2016-17 </w:t>
      </w:r>
      <w:r>
        <w:rPr>
          <w:sz w:val="24"/>
          <w:szCs w:val="24"/>
        </w:rPr>
        <w:t>(see Graph 1.19 below). Among the 25 PSBs,</w:t>
      </w:r>
      <w:r w:rsidRPr="00BD455E">
        <w:rPr>
          <w:b/>
          <w:sz w:val="24"/>
          <w:szCs w:val="24"/>
        </w:rPr>
        <w:t xml:space="preserve"> Union Bank of India invoked Section 8(1)(j) the least</w:t>
      </w:r>
      <w:r>
        <w:rPr>
          <w:sz w:val="24"/>
          <w:szCs w:val="24"/>
        </w:rPr>
        <w:t xml:space="preserve"> number of times (22). Interestingly, </w:t>
      </w:r>
      <w:r w:rsidRPr="00BD455E">
        <w:rPr>
          <w:b/>
          <w:sz w:val="24"/>
          <w:szCs w:val="24"/>
        </w:rPr>
        <w:t>RBI rejected only six RTI applications under this category</w:t>
      </w:r>
      <w:r>
        <w:rPr>
          <w:sz w:val="24"/>
          <w:szCs w:val="24"/>
        </w:rPr>
        <w:t xml:space="preserve"> (see Pie Chart 1.20 below);</w:t>
      </w:r>
    </w:p>
    <w:p w:rsidR="00BB792D" w:rsidRDefault="00BB792D" w:rsidP="00BB792D">
      <w:pPr>
        <w:pStyle w:val="ListParagraph"/>
        <w:spacing w:after="0" w:line="240" w:lineRule="auto"/>
        <w:ind w:left="360"/>
        <w:jc w:val="both"/>
        <w:rPr>
          <w:sz w:val="24"/>
          <w:szCs w:val="24"/>
        </w:rPr>
      </w:pPr>
    </w:p>
    <w:p w:rsidR="00BB792D" w:rsidRDefault="00BB792D" w:rsidP="00BB792D">
      <w:pPr>
        <w:pStyle w:val="ListParagraph"/>
        <w:numPr>
          <w:ilvl w:val="0"/>
          <w:numId w:val="5"/>
        </w:numPr>
        <w:spacing w:after="0" w:line="240" w:lineRule="auto"/>
        <w:ind w:left="360"/>
        <w:jc w:val="both"/>
        <w:rPr>
          <w:sz w:val="24"/>
          <w:szCs w:val="24"/>
        </w:rPr>
      </w:pPr>
      <w:r>
        <w:rPr>
          <w:b/>
          <w:sz w:val="24"/>
          <w:szCs w:val="24"/>
        </w:rPr>
        <w:t xml:space="preserve">24 </w:t>
      </w:r>
      <w:r w:rsidRPr="00521ED3">
        <w:rPr>
          <w:b/>
          <w:sz w:val="24"/>
          <w:szCs w:val="24"/>
        </w:rPr>
        <w:t>PSBs invoked Section 8(1)(d) more than 4,200 times to reject RTI applications in 2016-17</w:t>
      </w:r>
      <w:r>
        <w:rPr>
          <w:sz w:val="24"/>
          <w:szCs w:val="24"/>
        </w:rPr>
        <w:t xml:space="preserve"> (see Graph 1.10 below). While </w:t>
      </w:r>
      <w:r w:rsidRPr="00521ED3">
        <w:rPr>
          <w:b/>
          <w:sz w:val="24"/>
          <w:szCs w:val="24"/>
        </w:rPr>
        <w:t xml:space="preserve">State Bank of India invoked Section 8(1)(d) to reject more than 700 RTI applications, six PSBs, namely, Punjab National Bank, Syndicate Bank, Bank of India, </w:t>
      </w:r>
      <w:r>
        <w:rPr>
          <w:b/>
          <w:sz w:val="24"/>
          <w:szCs w:val="24"/>
        </w:rPr>
        <w:t>B</w:t>
      </w:r>
      <w:r w:rsidRPr="00521ED3">
        <w:rPr>
          <w:b/>
          <w:sz w:val="24"/>
          <w:szCs w:val="24"/>
        </w:rPr>
        <w:t>ank of Baroda, IDBI Bank Ltd. and Oriental Bank of Commerce, invoked it to reject more than 200 RTI applications each</w:t>
      </w:r>
      <w:r>
        <w:rPr>
          <w:sz w:val="24"/>
          <w:szCs w:val="24"/>
        </w:rPr>
        <w:t xml:space="preserve">. </w:t>
      </w:r>
      <w:r w:rsidRPr="0045664E">
        <w:rPr>
          <w:b/>
          <w:sz w:val="24"/>
          <w:szCs w:val="24"/>
        </w:rPr>
        <w:t>Canara Bank was the only PSB which did not invoke this exemption to reject any RTI application</w:t>
      </w:r>
      <w:r>
        <w:rPr>
          <w:sz w:val="24"/>
          <w:szCs w:val="24"/>
        </w:rPr>
        <w:t xml:space="preserve">. </w:t>
      </w:r>
      <w:r w:rsidRPr="003B7DCD">
        <w:rPr>
          <w:b/>
          <w:sz w:val="24"/>
          <w:szCs w:val="24"/>
        </w:rPr>
        <w:t>RBI invoked Section 8(1)(d) to reject only four RTI applications</w:t>
      </w:r>
      <w:r>
        <w:rPr>
          <w:sz w:val="24"/>
          <w:szCs w:val="24"/>
        </w:rPr>
        <w:t xml:space="preserve"> during this period (see Graph 1.28 below).</w:t>
      </w:r>
    </w:p>
    <w:p w:rsidR="00BA2136" w:rsidRDefault="00BA2136" w:rsidP="00BA2136">
      <w:pPr>
        <w:spacing w:after="120" w:line="240" w:lineRule="auto"/>
        <w:ind w:left="360"/>
        <w:jc w:val="both"/>
        <w:rPr>
          <w:sz w:val="24"/>
          <w:szCs w:val="24"/>
        </w:rPr>
      </w:pPr>
    </w:p>
    <w:p w:rsidR="00BB792D" w:rsidRDefault="00BB792D" w:rsidP="00BB792D">
      <w:pPr>
        <w:ind w:left="360"/>
        <w:jc w:val="both"/>
        <w:rPr>
          <w:sz w:val="24"/>
          <w:szCs w:val="24"/>
        </w:rPr>
      </w:pPr>
      <w:r>
        <w:rPr>
          <w:sz w:val="24"/>
          <w:szCs w:val="24"/>
        </w:rPr>
        <w:t>Section 8(1)(d) of the RTI Act protects information that is in the nature of commercial confidence, trade secrets or intellectual property rights (IPRs) where disclosure will harm the competitive position of a “third party”. In other words, this exemption is not available for a public authority to protect its own information that is in the nature of commercial confidence, trade secrets or IPRs.</w:t>
      </w:r>
      <w:r>
        <w:rPr>
          <w:rStyle w:val="FootnoteReference"/>
          <w:sz w:val="24"/>
          <w:szCs w:val="24"/>
        </w:rPr>
        <w:footnoteReference w:id="4"/>
      </w:r>
      <w:r>
        <w:rPr>
          <w:sz w:val="24"/>
          <w:szCs w:val="24"/>
        </w:rPr>
        <w:t xml:space="preserve"> An in-depth study of the RTI applications rejected by PSBs under Section 8(1)(d) will be in order to assess whether they are legitimately claiming the protection of this exemption;</w:t>
      </w:r>
    </w:p>
    <w:p w:rsidR="00BB792D" w:rsidRDefault="00BB792D" w:rsidP="00BB792D">
      <w:pPr>
        <w:pStyle w:val="ListParagraph"/>
        <w:numPr>
          <w:ilvl w:val="0"/>
          <w:numId w:val="5"/>
        </w:numPr>
        <w:spacing w:after="0" w:line="240" w:lineRule="auto"/>
        <w:ind w:left="360"/>
        <w:jc w:val="both"/>
        <w:rPr>
          <w:sz w:val="24"/>
          <w:szCs w:val="24"/>
        </w:rPr>
      </w:pPr>
      <w:r w:rsidRPr="00C72565">
        <w:rPr>
          <w:sz w:val="24"/>
          <w:szCs w:val="24"/>
        </w:rPr>
        <w:t xml:space="preserve">Despite the overall trend of PSBs using Section 8(1)(j) relating to privacy of an individual most often to reject RTI applications, </w:t>
      </w:r>
      <w:r w:rsidRPr="00C72565">
        <w:rPr>
          <w:b/>
          <w:sz w:val="24"/>
          <w:szCs w:val="24"/>
        </w:rPr>
        <w:t>11 PSBs bucked this trend in 2016-17. 8 PSBs invoked Section 8(1)(d) of the RTI Act more often than Section 8(1)(j)</w:t>
      </w:r>
      <w:r w:rsidRPr="00C72565">
        <w:rPr>
          <w:sz w:val="24"/>
          <w:szCs w:val="24"/>
        </w:rPr>
        <w:t xml:space="preserve"> to reject RTI applications in 2016-17</w:t>
      </w:r>
      <w:r>
        <w:rPr>
          <w:sz w:val="24"/>
          <w:szCs w:val="24"/>
        </w:rPr>
        <w:t>. These are:</w:t>
      </w:r>
      <w:r w:rsidRPr="00C72565">
        <w:rPr>
          <w:b/>
          <w:sz w:val="24"/>
          <w:szCs w:val="24"/>
        </w:rPr>
        <w:t xml:space="preserve"> Syndicate Bank (</w:t>
      </w:r>
      <w:r w:rsidRPr="00C72565">
        <w:rPr>
          <w:sz w:val="24"/>
          <w:szCs w:val="24"/>
        </w:rPr>
        <w:t>568:563)</w:t>
      </w:r>
      <w:r w:rsidRPr="00C72565">
        <w:rPr>
          <w:b/>
          <w:sz w:val="24"/>
          <w:szCs w:val="24"/>
        </w:rPr>
        <w:t xml:space="preserve">, Bank of India </w:t>
      </w:r>
      <w:r w:rsidRPr="00C72565">
        <w:rPr>
          <w:sz w:val="24"/>
          <w:szCs w:val="24"/>
        </w:rPr>
        <w:t>(357:276)</w:t>
      </w:r>
      <w:r w:rsidRPr="00C72565">
        <w:rPr>
          <w:b/>
          <w:sz w:val="24"/>
          <w:szCs w:val="24"/>
        </w:rPr>
        <w:t xml:space="preserve">, IDBI Bank Ltd. </w:t>
      </w:r>
      <w:r w:rsidRPr="00C72565">
        <w:rPr>
          <w:sz w:val="24"/>
          <w:szCs w:val="24"/>
        </w:rPr>
        <w:t>(277:53)</w:t>
      </w:r>
      <w:r w:rsidRPr="00C72565">
        <w:rPr>
          <w:b/>
          <w:sz w:val="24"/>
          <w:szCs w:val="24"/>
        </w:rPr>
        <w:t>, Oriental Bank of Commerce</w:t>
      </w:r>
      <w:r w:rsidRPr="00C72565">
        <w:rPr>
          <w:sz w:val="24"/>
          <w:szCs w:val="24"/>
        </w:rPr>
        <w:t xml:space="preserve"> (249:238)</w:t>
      </w:r>
      <w:r w:rsidRPr="00C72565">
        <w:rPr>
          <w:b/>
          <w:sz w:val="24"/>
          <w:szCs w:val="24"/>
        </w:rPr>
        <w:t xml:space="preserve">, Union Bank of India </w:t>
      </w:r>
      <w:r w:rsidRPr="00C72565">
        <w:rPr>
          <w:sz w:val="24"/>
          <w:szCs w:val="24"/>
        </w:rPr>
        <w:t>(160:22)</w:t>
      </w:r>
      <w:r w:rsidRPr="00C72565">
        <w:rPr>
          <w:b/>
          <w:sz w:val="24"/>
          <w:szCs w:val="24"/>
        </w:rPr>
        <w:t xml:space="preserve">, Indian Overseas Bank </w:t>
      </w:r>
      <w:r w:rsidRPr="00C72565">
        <w:rPr>
          <w:sz w:val="24"/>
          <w:szCs w:val="24"/>
        </w:rPr>
        <w:t>(67:40)</w:t>
      </w:r>
      <w:r w:rsidRPr="00C72565">
        <w:rPr>
          <w:b/>
          <w:sz w:val="24"/>
          <w:szCs w:val="24"/>
        </w:rPr>
        <w:t xml:space="preserve">, State Bank of Travancore </w:t>
      </w:r>
      <w:r w:rsidRPr="00C72565">
        <w:rPr>
          <w:sz w:val="24"/>
          <w:szCs w:val="24"/>
        </w:rPr>
        <w:t>(46:35)</w:t>
      </w:r>
      <w:r w:rsidRPr="00C72565">
        <w:rPr>
          <w:b/>
          <w:sz w:val="24"/>
          <w:szCs w:val="24"/>
        </w:rPr>
        <w:t xml:space="preserve"> and United Bank of India</w:t>
      </w:r>
      <w:r w:rsidRPr="00C72565">
        <w:rPr>
          <w:sz w:val="24"/>
          <w:szCs w:val="24"/>
        </w:rPr>
        <w:t xml:space="preserve"> (44:36 (see Graph 1.29 below). </w:t>
      </w:r>
    </w:p>
    <w:p w:rsidR="00BB792D" w:rsidRDefault="00BB792D" w:rsidP="00BB792D">
      <w:pPr>
        <w:pStyle w:val="ListParagraph"/>
        <w:spacing w:after="0" w:line="240" w:lineRule="auto"/>
        <w:ind w:left="360"/>
        <w:jc w:val="both"/>
        <w:rPr>
          <w:sz w:val="24"/>
          <w:szCs w:val="24"/>
        </w:rPr>
      </w:pPr>
    </w:p>
    <w:p w:rsidR="00BB792D" w:rsidRPr="00C72565" w:rsidRDefault="00BB792D" w:rsidP="00BB792D">
      <w:pPr>
        <w:pStyle w:val="ListParagraph"/>
        <w:numPr>
          <w:ilvl w:val="0"/>
          <w:numId w:val="5"/>
        </w:numPr>
        <w:spacing w:after="0" w:line="240" w:lineRule="auto"/>
        <w:ind w:left="360"/>
        <w:jc w:val="both"/>
        <w:rPr>
          <w:sz w:val="24"/>
          <w:szCs w:val="24"/>
        </w:rPr>
      </w:pPr>
      <w:r w:rsidRPr="00C72565">
        <w:rPr>
          <w:sz w:val="24"/>
          <w:szCs w:val="24"/>
        </w:rPr>
        <w:t xml:space="preserve">Three PSBs </w:t>
      </w:r>
      <w:r w:rsidRPr="00C72565">
        <w:rPr>
          <w:b/>
          <w:sz w:val="24"/>
          <w:szCs w:val="24"/>
        </w:rPr>
        <w:t>rejected more RTI applications under Section 8(1)(</w:t>
      </w:r>
      <w:r>
        <w:rPr>
          <w:b/>
          <w:sz w:val="24"/>
          <w:szCs w:val="24"/>
        </w:rPr>
        <w:t>e</w:t>
      </w:r>
      <w:r w:rsidRPr="00C72565">
        <w:rPr>
          <w:b/>
          <w:sz w:val="24"/>
          <w:szCs w:val="24"/>
        </w:rPr>
        <w:t xml:space="preserve">) </w:t>
      </w:r>
      <w:r>
        <w:rPr>
          <w:b/>
          <w:sz w:val="24"/>
          <w:szCs w:val="24"/>
        </w:rPr>
        <w:t>i.e., information held in a fiduciary relationship</w:t>
      </w:r>
      <w:r w:rsidRPr="00C72565">
        <w:rPr>
          <w:b/>
          <w:sz w:val="24"/>
          <w:szCs w:val="24"/>
        </w:rPr>
        <w:t xml:space="preserve"> than on grounds of invasion of privacy of an individual protected under Section 8(1)(j) of the RTI Act.</w:t>
      </w:r>
      <w:r>
        <w:rPr>
          <w:b/>
          <w:sz w:val="24"/>
          <w:szCs w:val="24"/>
        </w:rPr>
        <w:t xml:space="preserve"> These are:</w:t>
      </w:r>
      <w:r w:rsidRPr="00C72565">
        <w:rPr>
          <w:b/>
          <w:sz w:val="24"/>
          <w:szCs w:val="24"/>
        </w:rPr>
        <w:t xml:space="preserve"> Indian Bank</w:t>
      </w:r>
      <w:r w:rsidRPr="00C72565">
        <w:rPr>
          <w:sz w:val="24"/>
          <w:szCs w:val="24"/>
        </w:rPr>
        <w:t xml:space="preserve"> (247:41)</w:t>
      </w:r>
      <w:r w:rsidRPr="00C72565">
        <w:rPr>
          <w:b/>
          <w:sz w:val="24"/>
          <w:szCs w:val="24"/>
        </w:rPr>
        <w:t>, IDBI Bank Ltd.</w:t>
      </w:r>
      <w:r w:rsidRPr="00C72565">
        <w:rPr>
          <w:sz w:val="24"/>
          <w:szCs w:val="24"/>
        </w:rPr>
        <w:t xml:space="preserve"> (236:53)</w:t>
      </w:r>
      <w:r w:rsidRPr="00C72565">
        <w:rPr>
          <w:b/>
          <w:sz w:val="24"/>
          <w:szCs w:val="24"/>
        </w:rPr>
        <w:t xml:space="preserve"> and Vijaya Bank </w:t>
      </w:r>
      <w:r w:rsidRPr="00C72565">
        <w:rPr>
          <w:sz w:val="24"/>
          <w:szCs w:val="24"/>
        </w:rPr>
        <w:t>(164:42)</w:t>
      </w:r>
      <w:r>
        <w:rPr>
          <w:sz w:val="24"/>
          <w:szCs w:val="24"/>
        </w:rPr>
        <w:t xml:space="preserve"> </w:t>
      </w:r>
      <w:r w:rsidRPr="00C72565">
        <w:rPr>
          <w:sz w:val="24"/>
          <w:szCs w:val="24"/>
        </w:rPr>
        <w:t>see Graph 1.30 below);</w:t>
      </w:r>
    </w:p>
    <w:p w:rsidR="00BB792D" w:rsidRPr="00FB5BEF" w:rsidRDefault="00BB792D" w:rsidP="00BB792D">
      <w:pPr>
        <w:pStyle w:val="ListParagraph"/>
        <w:rPr>
          <w:sz w:val="24"/>
          <w:szCs w:val="24"/>
        </w:rPr>
      </w:pPr>
    </w:p>
    <w:p w:rsidR="00BB792D" w:rsidRDefault="00BB792D" w:rsidP="00BB792D">
      <w:pPr>
        <w:pStyle w:val="ListParagraph"/>
        <w:numPr>
          <w:ilvl w:val="0"/>
          <w:numId w:val="5"/>
        </w:numPr>
        <w:spacing w:after="0" w:line="240" w:lineRule="auto"/>
        <w:ind w:left="360"/>
        <w:jc w:val="both"/>
        <w:rPr>
          <w:sz w:val="24"/>
          <w:szCs w:val="24"/>
        </w:rPr>
      </w:pPr>
      <w:r>
        <w:rPr>
          <w:sz w:val="24"/>
          <w:szCs w:val="24"/>
        </w:rPr>
        <w:t xml:space="preserve">Similarly, </w:t>
      </w:r>
      <w:r w:rsidRPr="00B40243">
        <w:rPr>
          <w:b/>
          <w:sz w:val="24"/>
          <w:szCs w:val="24"/>
        </w:rPr>
        <w:t xml:space="preserve">11 PSBs invoked the fiduciary exemption </w:t>
      </w:r>
      <w:r w:rsidRPr="00B40243">
        <w:rPr>
          <w:sz w:val="24"/>
          <w:szCs w:val="24"/>
        </w:rPr>
        <w:t>under Section 8(1)(e)of the RTI Act</w:t>
      </w:r>
      <w:r w:rsidRPr="00B40243">
        <w:rPr>
          <w:b/>
          <w:sz w:val="24"/>
          <w:szCs w:val="24"/>
        </w:rPr>
        <w:t xml:space="preserve"> more often than </w:t>
      </w:r>
      <w:r>
        <w:rPr>
          <w:sz w:val="24"/>
          <w:szCs w:val="24"/>
        </w:rPr>
        <w:t>Section 8(1)(d</w:t>
      </w:r>
      <w:r w:rsidRPr="00B40243">
        <w:rPr>
          <w:sz w:val="24"/>
          <w:szCs w:val="24"/>
        </w:rPr>
        <w:t xml:space="preserve">) </w:t>
      </w:r>
      <w:r>
        <w:rPr>
          <w:b/>
          <w:sz w:val="24"/>
          <w:szCs w:val="24"/>
        </w:rPr>
        <w:t>which protects information in the nature of commercial confidence, trade secrets or IPRs</w:t>
      </w:r>
      <w:r>
        <w:rPr>
          <w:sz w:val="24"/>
          <w:szCs w:val="24"/>
        </w:rPr>
        <w:t xml:space="preserve"> in 2016-17. </w:t>
      </w:r>
      <w:r w:rsidRPr="00B40243">
        <w:rPr>
          <w:b/>
          <w:sz w:val="24"/>
          <w:szCs w:val="24"/>
        </w:rPr>
        <w:t>State Bank of India (902:708), Canara Bank (386:0), State Bank of Bikaner Jaipur (334:18), Allahabad Bank (321:181) and Indian Overseas Bank (252:67)</w:t>
      </w:r>
      <w:r>
        <w:rPr>
          <w:sz w:val="24"/>
          <w:szCs w:val="24"/>
        </w:rPr>
        <w:t xml:space="preserve"> topped this category in that order (see Graph 1.31 below);</w:t>
      </w:r>
    </w:p>
    <w:p w:rsidR="003B7DCD" w:rsidRPr="003B7DCD" w:rsidRDefault="003B7DCD" w:rsidP="003B7DCD">
      <w:pPr>
        <w:spacing w:after="0" w:line="240" w:lineRule="auto"/>
        <w:jc w:val="both"/>
        <w:rPr>
          <w:sz w:val="24"/>
          <w:szCs w:val="24"/>
        </w:rPr>
      </w:pPr>
    </w:p>
    <w:p w:rsidR="00BB792D" w:rsidRDefault="00BB792D" w:rsidP="00BB792D">
      <w:pPr>
        <w:pStyle w:val="ListParagraph"/>
        <w:numPr>
          <w:ilvl w:val="0"/>
          <w:numId w:val="5"/>
        </w:numPr>
        <w:spacing w:after="0" w:line="240" w:lineRule="auto"/>
        <w:ind w:left="360"/>
        <w:jc w:val="both"/>
        <w:rPr>
          <w:sz w:val="24"/>
          <w:szCs w:val="24"/>
        </w:rPr>
      </w:pPr>
      <w:r w:rsidRPr="008B4CA2">
        <w:rPr>
          <w:b/>
          <w:sz w:val="24"/>
          <w:szCs w:val="24"/>
        </w:rPr>
        <w:t>2</w:t>
      </w:r>
      <w:r>
        <w:rPr>
          <w:b/>
          <w:sz w:val="24"/>
          <w:szCs w:val="24"/>
        </w:rPr>
        <w:t>4</w:t>
      </w:r>
      <w:r w:rsidRPr="008B4CA2">
        <w:rPr>
          <w:b/>
          <w:sz w:val="24"/>
          <w:szCs w:val="24"/>
        </w:rPr>
        <w:t xml:space="preserve"> Banks invoked Section 8(1)(h) of the RTI Act to reject between 1-62 RTI applications during 2016-17</w:t>
      </w:r>
      <w:r>
        <w:rPr>
          <w:sz w:val="24"/>
          <w:szCs w:val="24"/>
        </w:rPr>
        <w:t xml:space="preserve"> (see Graphs 1.22 and 1.23 below). </w:t>
      </w:r>
      <w:r w:rsidRPr="00B01726">
        <w:rPr>
          <w:b/>
          <w:sz w:val="24"/>
          <w:szCs w:val="24"/>
        </w:rPr>
        <w:t>Syndicate Bank invoked this exemption in 62 cases followed by Bank of India in 43 cases, State Bank of India in 39 cases and Punjab National Bank in 34 cases</w:t>
      </w:r>
      <w:r>
        <w:rPr>
          <w:sz w:val="24"/>
          <w:szCs w:val="24"/>
        </w:rPr>
        <w:t xml:space="preserve">. </w:t>
      </w:r>
      <w:r w:rsidRPr="00B01726">
        <w:rPr>
          <w:b/>
          <w:sz w:val="24"/>
          <w:szCs w:val="24"/>
        </w:rPr>
        <w:t>RBI invoked this exemption in 2 instances only</w:t>
      </w:r>
      <w:r>
        <w:rPr>
          <w:sz w:val="24"/>
          <w:szCs w:val="24"/>
        </w:rPr>
        <w:t xml:space="preserve">. Canara Bank and Vijaya Bank did not invoke this exemption at all to reject any RTI application. </w:t>
      </w:r>
      <w:r w:rsidR="00BA2136">
        <w:rPr>
          <w:sz w:val="24"/>
          <w:szCs w:val="24"/>
        </w:rPr>
        <w:t>Section 8(1)(h)</w:t>
      </w:r>
      <w:r>
        <w:rPr>
          <w:sz w:val="24"/>
          <w:szCs w:val="24"/>
        </w:rPr>
        <w:t xml:space="preserve"> prevents the disclosure of information if it will impede the process of investigation or prosecution or apprehension of any offender;</w:t>
      </w:r>
    </w:p>
    <w:p w:rsidR="00BB792D" w:rsidRPr="00D50DE5" w:rsidRDefault="00BB792D" w:rsidP="00BB792D">
      <w:pPr>
        <w:pStyle w:val="ListParagraph"/>
        <w:rPr>
          <w:sz w:val="24"/>
          <w:szCs w:val="24"/>
        </w:rPr>
      </w:pPr>
    </w:p>
    <w:p w:rsidR="00BB792D" w:rsidRDefault="00BB792D" w:rsidP="00BB792D">
      <w:pPr>
        <w:pStyle w:val="ListParagraph"/>
        <w:numPr>
          <w:ilvl w:val="0"/>
          <w:numId w:val="5"/>
        </w:numPr>
        <w:spacing w:after="0" w:line="240" w:lineRule="auto"/>
        <w:ind w:left="360"/>
        <w:jc w:val="both"/>
        <w:rPr>
          <w:sz w:val="24"/>
          <w:szCs w:val="24"/>
        </w:rPr>
      </w:pPr>
      <w:r w:rsidRPr="0082115C">
        <w:rPr>
          <w:b/>
          <w:sz w:val="24"/>
          <w:szCs w:val="24"/>
        </w:rPr>
        <w:t>19 Banks invoked Section 8(1)(g) to reject between 1-60 RTI applications in 2016-17. State Bank of India invoked it in 60 cases followed by UCO Bank in 47 cases, Bank of India in 34 cases</w:t>
      </w:r>
      <w:r>
        <w:rPr>
          <w:sz w:val="24"/>
          <w:szCs w:val="24"/>
        </w:rPr>
        <w:t xml:space="preserve">. </w:t>
      </w:r>
      <w:r w:rsidRPr="0082115C">
        <w:rPr>
          <w:b/>
          <w:sz w:val="24"/>
          <w:szCs w:val="24"/>
        </w:rPr>
        <w:t>RBI invoked this exemption to reject 16 RTI applications</w:t>
      </w:r>
      <w:r>
        <w:rPr>
          <w:sz w:val="24"/>
          <w:szCs w:val="24"/>
        </w:rPr>
        <w:t xml:space="preserve"> during this period (see Graphs 1.24 and 1.25 below). </w:t>
      </w:r>
      <w:r w:rsidRPr="0082115C">
        <w:rPr>
          <w:b/>
          <w:sz w:val="24"/>
          <w:szCs w:val="24"/>
        </w:rPr>
        <w:t>7 PSBs, namely, Canara Bank, Dena Bank, Indian Bank, Oriental Bank of Commerce, State Bank of Hyderabad, Union Bank of India and United Bank of India did not use this exemption</w:t>
      </w:r>
      <w:r>
        <w:rPr>
          <w:sz w:val="24"/>
          <w:szCs w:val="24"/>
        </w:rPr>
        <w:t xml:space="preserve"> at all to reject any RTI application during this period</w:t>
      </w:r>
      <w:r w:rsidR="00444BA3">
        <w:rPr>
          <w:sz w:val="24"/>
          <w:szCs w:val="24"/>
        </w:rPr>
        <w:t>. Section 8(1)(g) exempts information whose disclosure may endanger the life or safety of an individual or reveal the identity of an informant or intelligence gatherer;</w:t>
      </w:r>
    </w:p>
    <w:p w:rsidR="00BB792D" w:rsidRPr="008B4CA2" w:rsidRDefault="00BB792D" w:rsidP="00BB792D">
      <w:pPr>
        <w:pStyle w:val="ListParagraph"/>
        <w:rPr>
          <w:sz w:val="24"/>
          <w:szCs w:val="24"/>
        </w:rPr>
      </w:pPr>
    </w:p>
    <w:p w:rsidR="00BB792D" w:rsidRDefault="00BB792D" w:rsidP="00BB792D">
      <w:pPr>
        <w:pStyle w:val="ListParagraph"/>
        <w:numPr>
          <w:ilvl w:val="0"/>
          <w:numId w:val="5"/>
        </w:numPr>
        <w:spacing w:after="0" w:line="240" w:lineRule="auto"/>
        <w:ind w:left="360"/>
        <w:jc w:val="both"/>
        <w:rPr>
          <w:sz w:val="24"/>
          <w:szCs w:val="24"/>
        </w:rPr>
      </w:pPr>
      <w:r>
        <w:rPr>
          <w:sz w:val="24"/>
          <w:szCs w:val="24"/>
        </w:rPr>
        <w:t xml:space="preserve">Only 3 Banks, namely, </w:t>
      </w:r>
      <w:r w:rsidRPr="00AD6E36">
        <w:rPr>
          <w:b/>
          <w:sz w:val="24"/>
          <w:szCs w:val="24"/>
        </w:rPr>
        <w:t>RBI, UCO Bank and Bank of Maharashtra rejected a total of 16 RTI applications under Section 8(1)(c)</w:t>
      </w:r>
      <w:r>
        <w:rPr>
          <w:sz w:val="24"/>
          <w:szCs w:val="24"/>
        </w:rPr>
        <w:t xml:space="preserve"> of the RTI Act in 2016-17. This provision exempts disclosure if it will cause a breach of privilege of Parliament or a State Legislature (see Graph 1.32 below);</w:t>
      </w:r>
    </w:p>
    <w:p w:rsidR="00BB792D" w:rsidRPr="00AD6E36" w:rsidRDefault="00BB792D" w:rsidP="00BB792D">
      <w:pPr>
        <w:pStyle w:val="ListParagraph"/>
        <w:rPr>
          <w:sz w:val="24"/>
          <w:szCs w:val="24"/>
        </w:rPr>
      </w:pPr>
    </w:p>
    <w:p w:rsidR="00BB792D" w:rsidRDefault="00BB792D" w:rsidP="00BB792D">
      <w:pPr>
        <w:pStyle w:val="ListParagraph"/>
        <w:numPr>
          <w:ilvl w:val="0"/>
          <w:numId w:val="5"/>
        </w:numPr>
        <w:spacing w:after="0" w:line="240" w:lineRule="auto"/>
        <w:ind w:left="360"/>
        <w:jc w:val="both"/>
        <w:rPr>
          <w:sz w:val="24"/>
          <w:szCs w:val="24"/>
        </w:rPr>
      </w:pPr>
      <w:r w:rsidRPr="00F1075E">
        <w:rPr>
          <w:b/>
          <w:sz w:val="24"/>
          <w:szCs w:val="24"/>
        </w:rPr>
        <w:lastRenderedPageBreak/>
        <w:t>5 PSBs namely, Allahabad Bank, Oriental Bank of Commerce, UCO Bank, State Bank of Hyderabad and State Bank of Travancore invoked Section 8(1)(b) of the RTI Act to reject 11 RTI applications in 2016-17</w:t>
      </w:r>
      <w:r>
        <w:rPr>
          <w:sz w:val="24"/>
          <w:szCs w:val="24"/>
        </w:rPr>
        <w:t xml:space="preserve"> (see Graph 1.33</w:t>
      </w:r>
      <w:r w:rsidR="00C26727">
        <w:rPr>
          <w:sz w:val="24"/>
          <w:szCs w:val="24"/>
        </w:rPr>
        <w:t xml:space="preserve"> below</w:t>
      </w:r>
      <w:r>
        <w:rPr>
          <w:sz w:val="24"/>
          <w:szCs w:val="24"/>
        </w:rPr>
        <w:t>). Section 8(1)(b) exempts disclosure if it will lead to contempt of court or where a court or tribunal has expressly forbidden any information from being made public;</w:t>
      </w:r>
    </w:p>
    <w:p w:rsidR="00BB792D" w:rsidRPr="00F1075E" w:rsidRDefault="00BB792D" w:rsidP="00BB792D">
      <w:pPr>
        <w:pStyle w:val="ListParagraph"/>
        <w:rPr>
          <w:sz w:val="24"/>
          <w:szCs w:val="24"/>
        </w:rPr>
      </w:pPr>
    </w:p>
    <w:p w:rsidR="00BB792D" w:rsidRDefault="00BB792D" w:rsidP="00BB792D">
      <w:pPr>
        <w:pStyle w:val="ListParagraph"/>
        <w:numPr>
          <w:ilvl w:val="0"/>
          <w:numId w:val="5"/>
        </w:numPr>
        <w:spacing w:after="0" w:line="240" w:lineRule="auto"/>
        <w:ind w:left="360"/>
        <w:jc w:val="both"/>
        <w:rPr>
          <w:sz w:val="24"/>
          <w:szCs w:val="24"/>
        </w:rPr>
      </w:pPr>
      <w:r w:rsidRPr="00F1075E">
        <w:rPr>
          <w:b/>
          <w:sz w:val="24"/>
          <w:szCs w:val="24"/>
        </w:rPr>
        <w:t>RBI invoked Section 8(1)(a) 99 times to reject RTI applications in 2016-17</w:t>
      </w:r>
      <w:r>
        <w:rPr>
          <w:sz w:val="24"/>
          <w:szCs w:val="24"/>
        </w:rPr>
        <w:t xml:space="preserve"> (see Graph 1.34 below).  </w:t>
      </w:r>
      <w:r w:rsidRPr="00F1075E">
        <w:rPr>
          <w:b/>
          <w:sz w:val="24"/>
          <w:szCs w:val="24"/>
        </w:rPr>
        <w:t>Six PSBs, namely, Bank of India, Oriental Bank of Commerce, Bank of Baroda, State Bank of Patiala, Allahabad Bank and State Bank of India invoked t</w:t>
      </w:r>
      <w:r>
        <w:rPr>
          <w:b/>
          <w:sz w:val="24"/>
          <w:szCs w:val="24"/>
        </w:rPr>
        <w:t>h</w:t>
      </w:r>
      <w:r w:rsidRPr="00F1075E">
        <w:rPr>
          <w:b/>
          <w:sz w:val="24"/>
          <w:szCs w:val="24"/>
        </w:rPr>
        <w:t>is exemption a handful of times during this period</w:t>
      </w:r>
      <w:r>
        <w:rPr>
          <w:sz w:val="24"/>
          <w:szCs w:val="24"/>
        </w:rPr>
        <w:t>. Section 8(1)(a) is the omnibus national security exemption clause which covers economic interests of the State within its ambit;</w:t>
      </w:r>
    </w:p>
    <w:p w:rsidR="00BB792D" w:rsidRPr="0082115C" w:rsidRDefault="00BB792D" w:rsidP="00BB792D">
      <w:pPr>
        <w:pStyle w:val="ListParagraph"/>
        <w:rPr>
          <w:sz w:val="24"/>
          <w:szCs w:val="24"/>
        </w:rPr>
      </w:pPr>
    </w:p>
    <w:p w:rsidR="00BB792D" w:rsidRDefault="00BB792D" w:rsidP="00BB792D">
      <w:pPr>
        <w:pStyle w:val="ListParagraph"/>
        <w:numPr>
          <w:ilvl w:val="0"/>
          <w:numId w:val="5"/>
        </w:numPr>
        <w:spacing w:after="0" w:line="240" w:lineRule="auto"/>
        <w:ind w:left="360"/>
        <w:jc w:val="both"/>
        <w:rPr>
          <w:sz w:val="24"/>
          <w:szCs w:val="24"/>
        </w:rPr>
      </w:pPr>
      <w:r w:rsidRPr="0082115C">
        <w:rPr>
          <w:b/>
          <w:sz w:val="24"/>
          <w:szCs w:val="24"/>
        </w:rPr>
        <w:t>Canara Bank topped the category of 5 PSBs invoking Section 9 to reject RTI applications in 2016-17</w:t>
      </w:r>
      <w:r>
        <w:rPr>
          <w:sz w:val="24"/>
          <w:szCs w:val="24"/>
        </w:rPr>
        <w:t xml:space="preserve"> (see Graph 1.17 below). Section 9 exempts information whose copyright vests in private entities. With 150 rejections under this category as compared to the handful of cases involving other 4 PSBs, the related RTI applications require in-depth study to assess whether this exemption was legitimately invoked by Canara Bank;</w:t>
      </w:r>
    </w:p>
    <w:p w:rsidR="00BB792D" w:rsidRPr="0082115C" w:rsidRDefault="00BB792D" w:rsidP="00BB792D">
      <w:pPr>
        <w:pStyle w:val="ListParagraph"/>
        <w:rPr>
          <w:sz w:val="24"/>
          <w:szCs w:val="24"/>
        </w:rPr>
      </w:pPr>
    </w:p>
    <w:p w:rsidR="00BB792D" w:rsidRDefault="00BB792D" w:rsidP="00BB792D">
      <w:pPr>
        <w:pStyle w:val="ListParagraph"/>
        <w:numPr>
          <w:ilvl w:val="0"/>
          <w:numId w:val="5"/>
        </w:numPr>
        <w:spacing w:after="0" w:line="240" w:lineRule="auto"/>
        <w:ind w:left="360"/>
        <w:jc w:val="both"/>
        <w:rPr>
          <w:sz w:val="24"/>
          <w:szCs w:val="24"/>
        </w:rPr>
      </w:pPr>
      <w:r w:rsidRPr="0082115C">
        <w:rPr>
          <w:b/>
          <w:sz w:val="24"/>
          <w:szCs w:val="24"/>
        </w:rPr>
        <w:t>12 PSBs rejected more than 200 RTI applications under Section 11 of the RTI Act, in 2016-17</w:t>
      </w:r>
      <w:r w:rsidRPr="0082115C">
        <w:rPr>
          <w:sz w:val="24"/>
          <w:szCs w:val="24"/>
        </w:rPr>
        <w:t xml:space="preserve">. State Bank </w:t>
      </w:r>
      <w:r w:rsidR="00C26727">
        <w:rPr>
          <w:sz w:val="24"/>
          <w:szCs w:val="24"/>
        </w:rPr>
        <w:t xml:space="preserve">of India </w:t>
      </w:r>
      <w:r w:rsidRPr="0082115C">
        <w:rPr>
          <w:sz w:val="24"/>
          <w:szCs w:val="24"/>
        </w:rPr>
        <w:t>topped this list with more than 70 rejections</w:t>
      </w:r>
      <w:r>
        <w:rPr>
          <w:sz w:val="24"/>
          <w:szCs w:val="24"/>
        </w:rPr>
        <w:t xml:space="preserve"> (see Graph 1.16 below)</w:t>
      </w:r>
      <w:r w:rsidRPr="0082115C">
        <w:rPr>
          <w:sz w:val="24"/>
          <w:szCs w:val="24"/>
        </w:rPr>
        <w:t xml:space="preserve">. </w:t>
      </w:r>
      <w:r w:rsidRPr="00EA1EFC">
        <w:rPr>
          <w:b/>
          <w:sz w:val="24"/>
          <w:szCs w:val="24"/>
        </w:rPr>
        <w:t>RBI did not invoke this exemption at all to reject any RTI application</w:t>
      </w:r>
      <w:r w:rsidRPr="0082115C">
        <w:rPr>
          <w:sz w:val="24"/>
          <w:szCs w:val="24"/>
        </w:rPr>
        <w:t xml:space="preserve"> during this period. Section 11 exempts disclosure of </w:t>
      </w:r>
      <w:r>
        <w:rPr>
          <w:sz w:val="24"/>
          <w:szCs w:val="24"/>
        </w:rPr>
        <w:t>trade or commercial secrets of third parties protected by law.</w:t>
      </w:r>
    </w:p>
    <w:p w:rsidR="00BB792D" w:rsidRDefault="00BB792D" w:rsidP="00BB792D">
      <w:pPr>
        <w:spacing w:after="0" w:line="240" w:lineRule="auto"/>
        <w:jc w:val="both"/>
        <w:rPr>
          <w:sz w:val="24"/>
          <w:szCs w:val="24"/>
        </w:rPr>
      </w:pPr>
    </w:p>
    <w:p w:rsidR="00285C75" w:rsidRDefault="00285C75" w:rsidP="00BB792D">
      <w:pPr>
        <w:spacing w:after="0" w:line="240" w:lineRule="auto"/>
        <w:jc w:val="both"/>
        <w:rPr>
          <w:sz w:val="24"/>
          <w:szCs w:val="24"/>
        </w:rPr>
      </w:pPr>
    </w:p>
    <w:p w:rsidR="00BB792D" w:rsidRPr="00285C75" w:rsidRDefault="00BB792D" w:rsidP="00BB792D">
      <w:pPr>
        <w:spacing w:after="0" w:line="240" w:lineRule="auto"/>
        <w:ind w:left="360" w:hanging="360"/>
        <w:jc w:val="both"/>
        <w:rPr>
          <w:b/>
          <w:i/>
          <w:sz w:val="28"/>
          <w:szCs w:val="24"/>
        </w:rPr>
      </w:pPr>
      <w:r w:rsidRPr="00285C75">
        <w:rPr>
          <w:b/>
          <w:i/>
          <w:sz w:val="28"/>
          <w:szCs w:val="24"/>
        </w:rPr>
        <w:t xml:space="preserve">VI. </w:t>
      </w:r>
      <w:r w:rsidRPr="00285C75">
        <w:rPr>
          <w:b/>
          <w:i/>
          <w:sz w:val="28"/>
          <w:szCs w:val="24"/>
          <w:u w:val="single"/>
        </w:rPr>
        <w:t>RTI versus NPAs</w:t>
      </w:r>
      <w:r w:rsidRPr="00285C75">
        <w:rPr>
          <w:b/>
          <w:i/>
          <w:sz w:val="28"/>
          <w:szCs w:val="24"/>
        </w:rPr>
        <w:t>:</w:t>
      </w:r>
    </w:p>
    <w:p w:rsidR="00BB792D" w:rsidRDefault="00BB792D" w:rsidP="00BB792D">
      <w:pPr>
        <w:spacing w:after="0" w:line="240" w:lineRule="auto"/>
        <w:jc w:val="both"/>
        <w:rPr>
          <w:sz w:val="24"/>
          <w:szCs w:val="24"/>
        </w:rPr>
      </w:pPr>
      <w:r w:rsidRPr="00574C27">
        <w:rPr>
          <w:sz w:val="24"/>
          <w:szCs w:val="24"/>
        </w:rPr>
        <w:t xml:space="preserve">This segment contains </w:t>
      </w:r>
      <w:r>
        <w:rPr>
          <w:sz w:val="24"/>
          <w:szCs w:val="24"/>
        </w:rPr>
        <w:t>our findings regarding any correlation between the trends of Net NPAs accumulated by PSBs and the trends in the number of RTI applications received and rejected.</w:t>
      </w:r>
    </w:p>
    <w:p w:rsidR="00BB792D" w:rsidRDefault="00BB792D" w:rsidP="00BB792D">
      <w:pPr>
        <w:spacing w:after="0" w:line="240" w:lineRule="auto"/>
        <w:jc w:val="both"/>
        <w:rPr>
          <w:sz w:val="24"/>
          <w:szCs w:val="24"/>
        </w:rPr>
      </w:pPr>
    </w:p>
    <w:p w:rsidR="00BB792D" w:rsidRDefault="00BB792D" w:rsidP="00BB792D">
      <w:pPr>
        <w:pStyle w:val="ListParagraph"/>
        <w:numPr>
          <w:ilvl w:val="0"/>
          <w:numId w:val="8"/>
        </w:numPr>
        <w:spacing w:after="0" w:line="240" w:lineRule="auto"/>
        <w:ind w:left="360"/>
        <w:jc w:val="both"/>
        <w:rPr>
          <w:sz w:val="24"/>
          <w:szCs w:val="24"/>
        </w:rPr>
      </w:pPr>
      <w:r>
        <w:rPr>
          <w:sz w:val="24"/>
          <w:szCs w:val="24"/>
        </w:rPr>
        <w:t xml:space="preserve">In </w:t>
      </w:r>
      <w:r w:rsidRPr="00EF3DD4">
        <w:rPr>
          <w:b/>
          <w:sz w:val="24"/>
          <w:szCs w:val="24"/>
        </w:rPr>
        <w:t>11 PSBs</w:t>
      </w:r>
      <w:r>
        <w:rPr>
          <w:sz w:val="24"/>
          <w:szCs w:val="24"/>
        </w:rPr>
        <w:t xml:space="preserve"> during the year 2016-17 both the number of RTI applications and the volume of Net NPAs increased (see Graph 1.35 below). These are: </w:t>
      </w:r>
      <w:r w:rsidRPr="00C31041">
        <w:rPr>
          <w:b/>
          <w:sz w:val="24"/>
          <w:szCs w:val="24"/>
        </w:rPr>
        <w:t>Andhra Bank (3.67%</w:t>
      </w:r>
      <w:r>
        <w:rPr>
          <w:b/>
          <w:sz w:val="24"/>
          <w:szCs w:val="24"/>
        </w:rPr>
        <w:t xml:space="preserve"> </w:t>
      </w:r>
      <w:r w:rsidRPr="00C31041">
        <w:rPr>
          <w:b/>
          <w:sz w:val="24"/>
          <w:szCs w:val="24"/>
        </w:rPr>
        <w:t>:</w:t>
      </w:r>
      <w:r>
        <w:rPr>
          <w:b/>
          <w:sz w:val="24"/>
          <w:szCs w:val="24"/>
        </w:rPr>
        <w:t xml:space="preserve"> </w:t>
      </w:r>
      <w:r w:rsidRPr="00C31041">
        <w:rPr>
          <w:b/>
          <w:sz w:val="24"/>
          <w:szCs w:val="24"/>
        </w:rPr>
        <w:t>71.56%), Bank of Maharashtra (3.99%</w:t>
      </w:r>
      <w:r>
        <w:rPr>
          <w:b/>
          <w:sz w:val="24"/>
          <w:szCs w:val="24"/>
        </w:rPr>
        <w:t xml:space="preserve"> </w:t>
      </w:r>
      <w:r w:rsidRPr="00C31041">
        <w:rPr>
          <w:b/>
          <w:sz w:val="24"/>
          <w:szCs w:val="24"/>
        </w:rPr>
        <w:t>:</w:t>
      </w:r>
      <w:r>
        <w:rPr>
          <w:b/>
          <w:sz w:val="24"/>
          <w:szCs w:val="24"/>
        </w:rPr>
        <w:t xml:space="preserve"> </w:t>
      </w:r>
      <w:r w:rsidRPr="00C31041">
        <w:rPr>
          <w:b/>
          <w:sz w:val="24"/>
          <w:szCs w:val="24"/>
        </w:rPr>
        <w:t>62.29%), Canara Bank (36.56%</w:t>
      </w:r>
      <w:r>
        <w:rPr>
          <w:b/>
          <w:sz w:val="24"/>
          <w:szCs w:val="24"/>
        </w:rPr>
        <w:t xml:space="preserve"> </w:t>
      </w:r>
      <w:r w:rsidRPr="00C31041">
        <w:rPr>
          <w:b/>
          <w:sz w:val="24"/>
          <w:szCs w:val="24"/>
        </w:rPr>
        <w:t>:</w:t>
      </w:r>
      <w:r>
        <w:rPr>
          <w:b/>
          <w:sz w:val="24"/>
          <w:szCs w:val="24"/>
        </w:rPr>
        <w:t xml:space="preserve"> </w:t>
      </w:r>
      <w:r w:rsidRPr="00C31041">
        <w:rPr>
          <w:b/>
          <w:sz w:val="24"/>
          <w:szCs w:val="24"/>
        </w:rPr>
        <w:t>3.92%), Corporation Bank (34.93%</w:t>
      </w:r>
      <w:r>
        <w:rPr>
          <w:b/>
          <w:sz w:val="24"/>
          <w:szCs w:val="24"/>
        </w:rPr>
        <w:t xml:space="preserve"> </w:t>
      </w:r>
      <w:r w:rsidRPr="00C31041">
        <w:rPr>
          <w:b/>
          <w:sz w:val="24"/>
          <w:szCs w:val="24"/>
        </w:rPr>
        <w:t>:</w:t>
      </w:r>
      <w:r>
        <w:rPr>
          <w:b/>
          <w:sz w:val="24"/>
          <w:szCs w:val="24"/>
        </w:rPr>
        <w:t xml:space="preserve"> </w:t>
      </w:r>
      <w:r w:rsidRPr="00C31041">
        <w:rPr>
          <w:b/>
          <w:sz w:val="24"/>
          <w:szCs w:val="24"/>
        </w:rPr>
        <w:t>27.64%), Dena Bank (2.19%</w:t>
      </w:r>
      <w:r>
        <w:rPr>
          <w:b/>
          <w:sz w:val="24"/>
          <w:szCs w:val="24"/>
        </w:rPr>
        <w:t xml:space="preserve"> </w:t>
      </w:r>
      <w:r w:rsidRPr="00C31041">
        <w:rPr>
          <w:b/>
          <w:sz w:val="24"/>
          <w:szCs w:val="24"/>
        </w:rPr>
        <w:t>:</w:t>
      </w:r>
      <w:r>
        <w:rPr>
          <w:b/>
          <w:sz w:val="24"/>
          <w:szCs w:val="24"/>
        </w:rPr>
        <w:t xml:space="preserve"> </w:t>
      </w:r>
      <w:r w:rsidRPr="00C31041">
        <w:rPr>
          <w:b/>
          <w:sz w:val="24"/>
          <w:szCs w:val="24"/>
        </w:rPr>
        <w:t>47.88%), IDBI Bank Ltd. (1.63%</w:t>
      </w:r>
      <w:r>
        <w:rPr>
          <w:b/>
          <w:sz w:val="24"/>
          <w:szCs w:val="24"/>
        </w:rPr>
        <w:t xml:space="preserve"> </w:t>
      </w:r>
      <w:r w:rsidRPr="00C31041">
        <w:rPr>
          <w:b/>
          <w:sz w:val="24"/>
          <w:szCs w:val="24"/>
        </w:rPr>
        <w:t>:</w:t>
      </w:r>
      <w:r>
        <w:rPr>
          <w:b/>
          <w:sz w:val="24"/>
          <w:szCs w:val="24"/>
        </w:rPr>
        <w:t xml:space="preserve"> </w:t>
      </w:r>
      <w:r w:rsidRPr="00C31041">
        <w:rPr>
          <w:b/>
          <w:sz w:val="24"/>
          <w:szCs w:val="24"/>
        </w:rPr>
        <w:t>72.13%), Indian Bank (7.65%</w:t>
      </w:r>
      <w:r>
        <w:rPr>
          <w:b/>
          <w:sz w:val="24"/>
          <w:szCs w:val="24"/>
        </w:rPr>
        <w:t xml:space="preserve"> </w:t>
      </w:r>
      <w:r w:rsidRPr="00C31041">
        <w:rPr>
          <w:b/>
          <w:sz w:val="24"/>
          <w:szCs w:val="24"/>
        </w:rPr>
        <w:t>:</w:t>
      </w:r>
      <w:r>
        <w:rPr>
          <w:b/>
          <w:sz w:val="24"/>
          <w:szCs w:val="24"/>
        </w:rPr>
        <w:t xml:space="preserve"> </w:t>
      </w:r>
      <w:r w:rsidRPr="00C31041">
        <w:rPr>
          <w:b/>
          <w:sz w:val="24"/>
          <w:szCs w:val="24"/>
        </w:rPr>
        <w:t>3.45%) Indian Overseas Bank (5.71%</w:t>
      </w:r>
      <w:r>
        <w:rPr>
          <w:b/>
          <w:sz w:val="24"/>
          <w:szCs w:val="24"/>
        </w:rPr>
        <w:t xml:space="preserve"> </w:t>
      </w:r>
      <w:r w:rsidRPr="00C31041">
        <w:rPr>
          <w:b/>
          <w:sz w:val="24"/>
          <w:szCs w:val="24"/>
        </w:rPr>
        <w:t>:</w:t>
      </w:r>
      <w:r>
        <w:rPr>
          <w:b/>
          <w:sz w:val="24"/>
          <w:szCs w:val="24"/>
        </w:rPr>
        <w:t xml:space="preserve"> </w:t>
      </w:r>
      <w:r w:rsidRPr="00C31041">
        <w:rPr>
          <w:b/>
          <w:sz w:val="24"/>
          <w:szCs w:val="24"/>
        </w:rPr>
        <w:t>2.79%), State Bank of Bikaner and Jaipur (3.14%</w:t>
      </w:r>
      <w:r>
        <w:rPr>
          <w:b/>
          <w:sz w:val="24"/>
          <w:szCs w:val="24"/>
        </w:rPr>
        <w:t xml:space="preserve"> </w:t>
      </w:r>
      <w:r w:rsidRPr="00C31041">
        <w:rPr>
          <w:b/>
          <w:sz w:val="24"/>
          <w:szCs w:val="24"/>
        </w:rPr>
        <w:t>:</w:t>
      </w:r>
      <w:r>
        <w:rPr>
          <w:b/>
          <w:sz w:val="24"/>
          <w:szCs w:val="24"/>
        </w:rPr>
        <w:t xml:space="preserve"> </w:t>
      </w:r>
      <w:r w:rsidRPr="00C31041">
        <w:rPr>
          <w:b/>
          <w:sz w:val="24"/>
          <w:szCs w:val="24"/>
        </w:rPr>
        <w:t>240.60%), Syndicate Bank (17.94%</w:t>
      </w:r>
      <w:r>
        <w:rPr>
          <w:b/>
          <w:sz w:val="24"/>
          <w:szCs w:val="24"/>
        </w:rPr>
        <w:t xml:space="preserve"> </w:t>
      </w:r>
      <w:r w:rsidRPr="00C31041">
        <w:rPr>
          <w:b/>
          <w:sz w:val="24"/>
          <w:szCs w:val="24"/>
        </w:rPr>
        <w:t>:</w:t>
      </w:r>
      <w:r>
        <w:rPr>
          <w:b/>
          <w:sz w:val="24"/>
          <w:szCs w:val="24"/>
        </w:rPr>
        <w:t xml:space="preserve"> 15.49%) and</w:t>
      </w:r>
      <w:r w:rsidRPr="00C31041">
        <w:rPr>
          <w:b/>
          <w:sz w:val="24"/>
          <w:szCs w:val="24"/>
        </w:rPr>
        <w:t xml:space="preserve"> United Bank of India (608.89%</w:t>
      </w:r>
      <w:r>
        <w:rPr>
          <w:b/>
          <w:sz w:val="24"/>
          <w:szCs w:val="24"/>
        </w:rPr>
        <w:t xml:space="preserve"> </w:t>
      </w:r>
      <w:r w:rsidRPr="00C31041">
        <w:rPr>
          <w:b/>
          <w:sz w:val="24"/>
          <w:szCs w:val="24"/>
        </w:rPr>
        <w:t>:</w:t>
      </w:r>
      <w:r>
        <w:rPr>
          <w:b/>
          <w:sz w:val="24"/>
          <w:szCs w:val="24"/>
        </w:rPr>
        <w:t xml:space="preserve"> </w:t>
      </w:r>
      <w:r w:rsidRPr="00C31041">
        <w:rPr>
          <w:b/>
          <w:sz w:val="24"/>
          <w:szCs w:val="24"/>
        </w:rPr>
        <w:t>7.87%)</w:t>
      </w:r>
      <w:r>
        <w:rPr>
          <w:sz w:val="24"/>
          <w:szCs w:val="24"/>
        </w:rPr>
        <w:t>. However, it is difficult to make out any positive correlation in the absence of clues about the nature of information sought. So this could only be a fictive correlation thrown up by the juxtaposition of two sets of statistics;</w:t>
      </w:r>
    </w:p>
    <w:p w:rsidR="00BB792D" w:rsidRDefault="00BB792D" w:rsidP="00BB792D">
      <w:pPr>
        <w:pStyle w:val="ListParagraph"/>
        <w:spacing w:after="0" w:line="240" w:lineRule="auto"/>
        <w:ind w:left="360"/>
        <w:jc w:val="both"/>
        <w:rPr>
          <w:sz w:val="24"/>
          <w:szCs w:val="24"/>
        </w:rPr>
      </w:pPr>
    </w:p>
    <w:p w:rsidR="00BB792D" w:rsidRDefault="00BB792D" w:rsidP="00BB792D">
      <w:pPr>
        <w:pStyle w:val="ListParagraph"/>
        <w:numPr>
          <w:ilvl w:val="0"/>
          <w:numId w:val="8"/>
        </w:numPr>
        <w:spacing w:after="0" w:line="240" w:lineRule="auto"/>
        <w:ind w:left="360"/>
        <w:jc w:val="both"/>
        <w:rPr>
          <w:sz w:val="24"/>
          <w:szCs w:val="24"/>
        </w:rPr>
      </w:pPr>
      <w:r w:rsidRPr="00C31041">
        <w:rPr>
          <w:b/>
          <w:sz w:val="24"/>
          <w:szCs w:val="24"/>
        </w:rPr>
        <w:t>Only 2 PSBs, namely, Punjab National Bank</w:t>
      </w:r>
      <w:r>
        <w:rPr>
          <w:sz w:val="24"/>
          <w:szCs w:val="24"/>
        </w:rPr>
        <w:t xml:space="preserve"> </w:t>
      </w:r>
      <w:r w:rsidRPr="00C31041">
        <w:rPr>
          <w:b/>
          <w:sz w:val="24"/>
          <w:szCs w:val="24"/>
        </w:rPr>
        <w:t>(-5.70% : -7.68%), Bank of Baroda (-5.20% : -6.83%) reported a downward trend in</w:t>
      </w:r>
      <w:r>
        <w:rPr>
          <w:b/>
          <w:sz w:val="24"/>
          <w:szCs w:val="24"/>
        </w:rPr>
        <w:t xml:space="preserve"> the </w:t>
      </w:r>
      <w:r w:rsidRPr="00C31041">
        <w:rPr>
          <w:b/>
          <w:sz w:val="24"/>
          <w:szCs w:val="24"/>
        </w:rPr>
        <w:t xml:space="preserve">receipt of RTI applications </w:t>
      </w:r>
      <w:r>
        <w:rPr>
          <w:b/>
          <w:sz w:val="24"/>
          <w:szCs w:val="24"/>
        </w:rPr>
        <w:t xml:space="preserve">and fall in the size of </w:t>
      </w:r>
      <w:r w:rsidRPr="00C31041">
        <w:rPr>
          <w:b/>
          <w:sz w:val="24"/>
          <w:szCs w:val="24"/>
        </w:rPr>
        <w:t>Net NPAs</w:t>
      </w:r>
      <w:r w:rsidR="00C26727">
        <w:rPr>
          <w:b/>
          <w:sz w:val="24"/>
          <w:szCs w:val="24"/>
        </w:rPr>
        <w:t xml:space="preserve"> (see Graph 1.35 below)</w:t>
      </w:r>
      <w:r w:rsidRPr="00C31041">
        <w:rPr>
          <w:sz w:val="24"/>
          <w:szCs w:val="24"/>
        </w:rPr>
        <w:t>;</w:t>
      </w:r>
      <w:r>
        <w:rPr>
          <w:sz w:val="24"/>
          <w:szCs w:val="24"/>
        </w:rPr>
        <w:t xml:space="preserve"> </w:t>
      </w:r>
    </w:p>
    <w:p w:rsidR="00BB792D" w:rsidRPr="00C31041" w:rsidRDefault="00BB792D" w:rsidP="00BB792D">
      <w:pPr>
        <w:pStyle w:val="ListParagraph"/>
        <w:rPr>
          <w:sz w:val="24"/>
          <w:szCs w:val="24"/>
        </w:rPr>
      </w:pPr>
    </w:p>
    <w:p w:rsidR="00BB792D" w:rsidRDefault="00BB792D" w:rsidP="00BB792D">
      <w:pPr>
        <w:pStyle w:val="ListParagraph"/>
        <w:numPr>
          <w:ilvl w:val="0"/>
          <w:numId w:val="8"/>
        </w:numPr>
        <w:spacing w:after="0" w:line="240" w:lineRule="auto"/>
        <w:ind w:left="360"/>
        <w:jc w:val="both"/>
        <w:rPr>
          <w:sz w:val="24"/>
          <w:szCs w:val="24"/>
        </w:rPr>
      </w:pPr>
      <w:r w:rsidRPr="00C31041">
        <w:rPr>
          <w:b/>
          <w:sz w:val="24"/>
          <w:szCs w:val="24"/>
        </w:rPr>
        <w:t>Only 3 PSBs, namely, UCO Bank (112.42% : -6.47%), Bank of India (9.43% : -9.61%) and Vijaya Bank (22.06% : -3.71%) reported a reverse trend where Net NPAs fell and the number of RTI applications increased</w:t>
      </w:r>
      <w:r>
        <w:rPr>
          <w:b/>
          <w:sz w:val="24"/>
          <w:szCs w:val="24"/>
        </w:rPr>
        <w:t xml:space="preserve">. The remaining PSBs </w:t>
      </w:r>
      <w:r w:rsidRPr="00C31041">
        <w:rPr>
          <w:b/>
          <w:sz w:val="24"/>
          <w:szCs w:val="24"/>
        </w:rPr>
        <w:t xml:space="preserve">show a declining trend in the number of RTI applications received </w:t>
      </w:r>
      <w:r>
        <w:rPr>
          <w:b/>
          <w:sz w:val="24"/>
          <w:szCs w:val="24"/>
        </w:rPr>
        <w:t>along</w:t>
      </w:r>
      <w:r w:rsidRPr="00C31041">
        <w:rPr>
          <w:b/>
          <w:sz w:val="24"/>
          <w:szCs w:val="24"/>
        </w:rPr>
        <w:t xml:space="preserve"> with a rising trend of Net NPAs</w:t>
      </w:r>
      <w:r>
        <w:rPr>
          <w:sz w:val="24"/>
          <w:szCs w:val="24"/>
        </w:rPr>
        <w:t xml:space="preserve"> (see Graph 1.35 below);</w:t>
      </w:r>
    </w:p>
    <w:p w:rsidR="00BB792D" w:rsidRPr="005F40B9" w:rsidRDefault="00BB792D" w:rsidP="00BB792D">
      <w:pPr>
        <w:pStyle w:val="ListParagraph"/>
        <w:rPr>
          <w:sz w:val="24"/>
          <w:szCs w:val="24"/>
        </w:rPr>
      </w:pPr>
    </w:p>
    <w:p w:rsidR="00BB792D" w:rsidRPr="00F4727E" w:rsidRDefault="00BB792D" w:rsidP="00BB792D">
      <w:pPr>
        <w:pStyle w:val="ListParagraph"/>
        <w:numPr>
          <w:ilvl w:val="0"/>
          <w:numId w:val="8"/>
        </w:numPr>
        <w:spacing w:after="0" w:line="240" w:lineRule="auto"/>
        <w:ind w:left="360"/>
        <w:jc w:val="both"/>
        <w:rPr>
          <w:b/>
          <w:sz w:val="24"/>
          <w:szCs w:val="24"/>
        </w:rPr>
      </w:pPr>
      <w:r w:rsidRPr="005F40B9">
        <w:rPr>
          <w:b/>
          <w:sz w:val="24"/>
          <w:szCs w:val="24"/>
        </w:rPr>
        <w:t>Only five PSBs reported a</w:t>
      </w:r>
      <w:r>
        <w:rPr>
          <w:b/>
          <w:sz w:val="24"/>
          <w:szCs w:val="24"/>
        </w:rPr>
        <w:t>n</w:t>
      </w:r>
      <w:r w:rsidRPr="005F40B9">
        <w:rPr>
          <w:b/>
          <w:sz w:val="24"/>
          <w:szCs w:val="24"/>
        </w:rPr>
        <w:t xml:space="preserve"> increasing </w:t>
      </w:r>
      <w:r>
        <w:rPr>
          <w:b/>
          <w:sz w:val="24"/>
          <w:szCs w:val="24"/>
        </w:rPr>
        <w:t xml:space="preserve">trend of </w:t>
      </w:r>
      <w:r w:rsidRPr="005F40B9">
        <w:rPr>
          <w:b/>
          <w:sz w:val="24"/>
          <w:szCs w:val="24"/>
        </w:rPr>
        <w:t>rejection of RTI applications coupled with a trend of falling Net NPAs</w:t>
      </w:r>
      <w:r>
        <w:rPr>
          <w:b/>
          <w:sz w:val="24"/>
          <w:szCs w:val="24"/>
        </w:rPr>
        <w:t xml:space="preserve"> </w:t>
      </w:r>
      <w:r>
        <w:rPr>
          <w:sz w:val="24"/>
          <w:szCs w:val="24"/>
        </w:rPr>
        <w:t>(see Graph 1.36</w:t>
      </w:r>
      <w:r w:rsidR="00F2307F">
        <w:rPr>
          <w:sz w:val="24"/>
          <w:szCs w:val="24"/>
        </w:rPr>
        <w:t xml:space="preserve"> below</w:t>
      </w:r>
      <w:r>
        <w:rPr>
          <w:sz w:val="24"/>
          <w:szCs w:val="24"/>
        </w:rPr>
        <w:t>)</w:t>
      </w:r>
      <w:r w:rsidRPr="005F40B9">
        <w:rPr>
          <w:b/>
          <w:sz w:val="24"/>
          <w:szCs w:val="24"/>
        </w:rPr>
        <w:t>. These are: Bank of Baroda (34.6% : -6.83%), Bank of India (23.5% : -9.61%), Punjab National Bank (29.4% : -7.68%), UCO Bank (</w:t>
      </w:r>
      <w:r>
        <w:rPr>
          <w:b/>
          <w:sz w:val="24"/>
          <w:szCs w:val="24"/>
        </w:rPr>
        <w:t>26.8% :</w:t>
      </w:r>
      <w:r w:rsidRPr="005F40B9">
        <w:rPr>
          <w:b/>
          <w:sz w:val="24"/>
          <w:szCs w:val="24"/>
        </w:rPr>
        <w:t xml:space="preserve"> -6.47%) and Vijaya Bank (38.2% : -3.71%)</w:t>
      </w:r>
      <w:r>
        <w:rPr>
          <w:sz w:val="24"/>
          <w:szCs w:val="24"/>
        </w:rPr>
        <w:t xml:space="preserve">. </w:t>
      </w:r>
      <w:r w:rsidRPr="00496902">
        <w:rPr>
          <w:b/>
          <w:sz w:val="24"/>
          <w:szCs w:val="24"/>
        </w:rPr>
        <w:t>Most other PSBs reported a rising trend in both rejections and the northward movement of Net NPAs.</w:t>
      </w:r>
      <w:r>
        <w:rPr>
          <w:sz w:val="24"/>
          <w:szCs w:val="24"/>
        </w:rPr>
        <w:t xml:space="preserve"> For example, </w:t>
      </w:r>
      <w:r w:rsidRPr="005F40B9">
        <w:rPr>
          <w:b/>
          <w:sz w:val="24"/>
          <w:szCs w:val="24"/>
        </w:rPr>
        <w:t xml:space="preserve">State Bank of Hyderabad saw an increase in the rate of rejection of RTI applications </w:t>
      </w:r>
      <w:r>
        <w:rPr>
          <w:b/>
          <w:sz w:val="24"/>
          <w:szCs w:val="24"/>
        </w:rPr>
        <w:t xml:space="preserve">and </w:t>
      </w:r>
      <w:r w:rsidRPr="005F40B9">
        <w:rPr>
          <w:b/>
          <w:sz w:val="24"/>
          <w:szCs w:val="24"/>
        </w:rPr>
        <w:t xml:space="preserve">a massive increase in Net NPAs (71% : 172.33%). State </w:t>
      </w:r>
      <w:r w:rsidR="00085A93">
        <w:rPr>
          <w:b/>
          <w:sz w:val="24"/>
          <w:szCs w:val="24"/>
        </w:rPr>
        <w:t>B</w:t>
      </w:r>
      <w:r w:rsidRPr="005F40B9">
        <w:rPr>
          <w:b/>
          <w:sz w:val="24"/>
          <w:szCs w:val="24"/>
        </w:rPr>
        <w:t>ank of Bikaner and Jaipur saw a 31.6% rise in the rejection rate while Net NPAs increased by a whopping 240%</w:t>
      </w:r>
      <w:r w:rsidRPr="005F40B9">
        <w:rPr>
          <w:sz w:val="24"/>
          <w:szCs w:val="24"/>
        </w:rPr>
        <w:t>.</w:t>
      </w:r>
      <w:r>
        <w:rPr>
          <w:sz w:val="24"/>
          <w:szCs w:val="24"/>
        </w:rPr>
        <w:t xml:space="preserve"> However content analysis of the RTI applications alone will bear out the existence of a positive or negative correlation between these two trends.</w:t>
      </w:r>
    </w:p>
    <w:p w:rsidR="00BB792D" w:rsidRPr="00F4727E" w:rsidRDefault="00BB792D" w:rsidP="00BB792D">
      <w:pPr>
        <w:pStyle w:val="ListParagraph"/>
        <w:rPr>
          <w:b/>
          <w:sz w:val="24"/>
          <w:szCs w:val="24"/>
        </w:rPr>
      </w:pPr>
    </w:p>
    <w:p w:rsidR="00BB792D" w:rsidRPr="00285C75" w:rsidRDefault="00285C75" w:rsidP="00BB792D">
      <w:pPr>
        <w:spacing w:after="0" w:line="240" w:lineRule="auto"/>
        <w:jc w:val="both"/>
        <w:rPr>
          <w:b/>
          <w:i/>
          <w:sz w:val="36"/>
          <w:szCs w:val="36"/>
        </w:rPr>
      </w:pPr>
      <w:r>
        <w:rPr>
          <w:b/>
          <w:i/>
          <w:sz w:val="36"/>
          <w:szCs w:val="36"/>
        </w:rPr>
        <w:t>Conclusion</w:t>
      </w:r>
    </w:p>
    <w:p w:rsidR="00BB792D" w:rsidRDefault="00BB792D" w:rsidP="00BB792D">
      <w:pPr>
        <w:spacing w:after="0" w:line="240" w:lineRule="auto"/>
        <w:jc w:val="both"/>
        <w:rPr>
          <w:b/>
          <w:sz w:val="24"/>
          <w:szCs w:val="24"/>
        </w:rPr>
      </w:pPr>
      <w:r>
        <w:rPr>
          <w:sz w:val="24"/>
          <w:szCs w:val="24"/>
        </w:rPr>
        <w:t>The CIC must urgently launch a third party audit of Banks receiving the most number of RTI applications as well as those reporting a very high proportion of rejections in order to make an assessment of the manner in which Banks are disposing RTI applications. This exercise can be undertaken in collaboration with representatives from civil society and academia who have deep knowledge of the RTI case law and a thorough understanding of the banking sector. I</w:t>
      </w:r>
      <w:r w:rsidRPr="004F2506">
        <w:rPr>
          <w:sz w:val="24"/>
          <w:szCs w:val="24"/>
        </w:rPr>
        <w:t xml:space="preserve">n the matter of </w:t>
      </w:r>
      <w:r w:rsidRPr="004F2506">
        <w:rPr>
          <w:i/>
          <w:sz w:val="24"/>
          <w:szCs w:val="24"/>
        </w:rPr>
        <w:t>Reserve Bank of India vs Jayantilal N Mistry</w:t>
      </w:r>
      <w:r w:rsidRPr="004F2506">
        <w:rPr>
          <w:sz w:val="24"/>
          <w:szCs w:val="24"/>
        </w:rPr>
        <w:t xml:space="preserve"> and related cases [Transferred Cases (Civil) Nos. 91-101, judgement dated 16/12/2016]</w:t>
      </w:r>
      <w:r w:rsidRPr="004F2506">
        <w:rPr>
          <w:rStyle w:val="FootnoteReference"/>
          <w:sz w:val="24"/>
          <w:szCs w:val="24"/>
        </w:rPr>
        <w:footnoteReference w:id="5"/>
      </w:r>
      <w:r w:rsidRPr="004F2506">
        <w:rPr>
          <w:sz w:val="24"/>
          <w:szCs w:val="24"/>
        </w:rPr>
        <w:t xml:space="preserve"> the Hon’ble Supreme Court of India had directed the Reserve Bank of India to disclose information about NPAs to RTI applicants. Whether the directives of the Apex Court are being complied with or not can be ascertained only by examining the RTI applications and the responses of each </w:t>
      </w:r>
      <w:r>
        <w:rPr>
          <w:sz w:val="24"/>
          <w:szCs w:val="24"/>
        </w:rPr>
        <w:t>Bank</w:t>
      </w:r>
      <w:r w:rsidRPr="004F2506">
        <w:rPr>
          <w:sz w:val="24"/>
          <w:szCs w:val="24"/>
        </w:rPr>
        <w:t>.</w:t>
      </w:r>
      <w:r>
        <w:rPr>
          <w:sz w:val="24"/>
          <w:szCs w:val="24"/>
        </w:rPr>
        <w:t xml:space="preserve"> So a third party audit under the aegis of the CIC is the need of the hour.</w:t>
      </w:r>
    </w:p>
    <w:p w:rsidR="00BB792D" w:rsidRDefault="00BB792D" w:rsidP="00BB792D">
      <w:pPr>
        <w:spacing w:after="0" w:line="240" w:lineRule="auto"/>
        <w:jc w:val="center"/>
        <w:rPr>
          <w:b/>
          <w:sz w:val="24"/>
          <w:szCs w:val="24"/>
        </w:rPr>
      </w:pPr>
    </w:p>
    <w:p w:rsidR="00BB792D" w:rsidRDefault="00BB792D" w:rsidP="00BB792D">
      <w:pPr>
        <w:spacing w:after="0" w:line="240" w:lineRule="auto"/>
        <w:jc w:val="center"/>
        <w:rPr>
          <w:b/>
          <w:sz w:val="24"/>
          <w:szCs w:val="24"/>
        </w:rPr>
      </w:pPr>
      <w:r>
        <w:rPr>
          <w:b/>
          <w:sz w:val="24"/>
          <w:szCs w:val="24"/>
        </w:rPr>
        <w:lastRenderedPageBreak/>
        <w:t>*****</w:t>
      </w:r>
    </w:p>
    <w:tbl>
      <w:tblPr>
        <w:tblW w:w="2139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
        <w:gridCol w:w="2179"/>
        <w:gridCol w:w="1620"/>
        <w:gridCol w:w="1620"/>
        <w:gridCol w:w="1620"/>
        <w:gridCol w:w="1643"/>
        <w:gridCol w:w="1530"/>
        <w:gridCol w:w="1147"/>
        <w:gridCol w:w="1237"/>
        <w:gridCol w:w="1350"/>
        <w:gridCol w:w="1170"/>
        <w:gridCol w:w="1170"/>
        <w:gridCol w:w="1597"/>
        <w:gridCol w:w="1463"/>
        <w:gridCol w:w="1530"/>
      </w:tblGrid>
      <w:tr w:rsidR="00EE4D9D" w:rsidTr="00B55E02">
        <w:tc>
          <w:tcPr>
            <w:tcW w:w="21397" w:type="dxa"/>
            <w:gridSpan w:val="15"/>
            <w:tcBorders>
              <w:top w:val="single" w:sz="4" w:space="0" w:color="000000"/>
              <w:left w:val="single" w:sz="4" w:space="0" w:color="000000"/>
              <w:bottom w:val="single" w:sz="4" w:space="0" w:color="000000"/>
              <w:right w:val="single" w:sz="4" w:space="0" w:color="000000"/>
            </w:tcBorders>
            <w:hideMark/>
          </w:tcPr>
          <w:p w:rsidR="00EE4D9D" w:rsidRPr="00FA5443" w:rsidRDefault="00EE4D9D">
            <w:pPr>
              <w:spacing w:after="120"/>
              <w:jc w:val="center"/>
              <w:rPr>
                <w:b/>
                <w:sz w:val="36"/>
                <w:szCs w:val="36"/>
              </w:rPr>
            </w:pPr>
            <w:r>
              <w:rPr>
                <w:sz w:val="24"/>
                <w:szCs w:val="24"/>
              </w:rPr>
              <w:br w:type="page"/>
            </w:r>
            <w:r>
              <w:rPr>
                <w:sz w:val="24"/>
                <w:szCs w:val="24"/>
              </w:rPr>
              <w:br w:type="page"/>
            </w:r>
            <w:r w:rsidR="00793319" w:rsidRPr="00FA5443">
              <w:rPr>
                <w:b/>
                <w:sz w:val="36"/>
                <w:szCs w:val="36"/>
              </w:rPr>
              <w:t xml:space="preserve">Comparative </w:t>
            </w:r>
            <w:r w:rsidR="00793319">
              <w:rPr>
                <w:b/>
                <w:sz w:val="36"/>
                <w:szCs w:val="36"/>
              </w:rPr>
              <w:t>Table</w:t>
            </w:r>
            <w:r w:rsidR="00793319" w:rsidRPr="00FA5443">
              <w:rPr>
                <w:b/>
                <w:sz w:val="36"/>
                <w:szCs w:val="36"/>
              </w:rPr>
              <w:t xml:space="preserve"> </w:t>
            </w:r>
            <w:r w:rsidR="00793319">
              <w:rPr>
                <w:b/>
                <w:sz w:val="36"/>
                <w:szCs w:val="36"/>
              </w:rPr>
              <w:t xml:space="preserve">of </w:t>
            </w:r>
            <w:r w:rsidRPr="00FA5443">
              <w:rPr>
                <w:b/>
                <w:sz w:val="36"/>
                <w:szCs w:val="36"/>
              </w:rPr>
              <w:t xml:space="preserve">RTI Statistics of 26 Public Sector Banks &amp; Reserve Bank of India </w:t>
            </w:r>
          </w:p>
          <w:p w:rsidR="00EE4D9D" w:rsidRDefault="00EE4D9D" w:rsidP="00EE4D9D">
            <w:pPr>
              <w:spacing w:after="120"/>
              <w:jc w:val="center"/>
              <w:rPr>
                <w:sz w:val="24"/>
                <w:szCs w:val="24"/>
              </w:rPr>
            </w:pPr>
            <w:r>
              <w:rPr>
                <w:b/>
                <w:sz w:val="28"/>
                <w:szCs w:val="28"/>
              </w:rPr>
              <w:t>(2014-2017)</w:t>
            </w:r>
          </w:p>
        </w:tc>
      </w:tr>
      <w:tr w:rsidR="00EE4D9D" w:rsidTr="00B55E02">
        <w:tc>
          <w:tcPr>
            <w:tcW w:w="521" w:type="dxa"/>
            <w:tcBorders>
              <w:top w:val="single" w:sz="4" w:space="0" w:color="000000"/>
              <w:left w:val="single" w:sz="4" w:space="0" w:color="000000"/>
              <w:bottom w:val="single" w:sz="4" w:space="0" w:color="000000"/>
              <w:right w:val="single" w:sz="4" w:space="0" w:color="000000"/>
            </w:tcBorders>
            <w:hideMark/>
          </w:tcPr>
          <w:p w:rsidR="00EE4D9D" w:rsidRDefault="00EE4D9D">
            <w:pPr>
              <w:jc w:val="center"/>
              <w:rPr>
                <w:b/>
                <w:sz w:val="24"/>
                <w:szCs w:val="24"/>
              </w:rPr>
            </w:pPr>
            <w:r>
              <w:rPr>
                <w:b/>
                <w:sz w:val="24"/>
                <w:szCs w:val="24"/>
              </w:rPr>
              <w:t>#</w:t>
            </w:r>
          </w:p>
        </w:tc>
        <w:tc>
          <w:tcPr>
            <w:tcW w:w="2179" w:type="dxa"/>
            <w:tcBorders>
              <w:top w:val="single" w:sz="4" w:space="0" w:color="000000"/>
              <w:left w:val="single" w:sz="4" w:space="0" w:color="000000"/>
              <w:bottom w:val="single" w:sz="4" w:space="0" w:color="000000"/>
              <w:right w:val="single" w:sz="4" w:space="0" w:color="000000"/>
            </w:tcBorders>
            <w:hideMark/>
          </w:tcPr>
          <w:p w:rsidR="00EE4D9D" w:rsidRDefault="00EE4D9D">
            <w:pPr>
              <w:jc w:val="center"/>
              <w:rPr>
                <w:b/>
                <w:sz w:val="24"/>
                <w:szCs w:val="24"/>
              </w:rPr>
            </w:pPr>
            <w:r>
              <w:rPr>
                <w:b/>
                <w:sz w:val="24"/>
                <w:szCs w:val="24"/>
              </w:rPr>
              <w:t>Name of the Bank</w:t>
            </w:r>
          </w:p>
        </w:tc>
        <w:tc>
          <w:tcPr>
            <w:tcW w:w="1620" w:type="dxa"/>
            <w:tcBorders>
              <w:top w:val="single" w:sz="4" w:space="0" w:color="000000"/>
              <w:left w:val="single" w:sz="4" w:space="0" w:color="000000"/>
              <w:bottom w:val="single" w:sz="4" w:space="0" w:color="000000"/>
              <w:right w:val="single" w:sz="4" w:space="0" w:color="000000"/>
            </w:tcBorders>
          </w:tcPr>
          <w:p w:rsidR="00EE4D9D" w:rsidRDefault="00EE4D9D" w:rsidP="00EE4D9D">
            <w:pPr>
              <w:jc w:val="center"/>
              <w:rPr>
                <w:b/>
                <w:sz w:val="24"/>
                <w:szCs w:val="24"/>
              </w:rPr>
            </w:pPr>
            <w:r>
              <w:rPr>
                <w:b/>
                <w:sz w:val="24"/>
                <w:szCs w:val="24"/>
              </w:rPr>
              <w:t xml:space="preserve">Total No. </w:t>
            </w:r>
          </w:p>
          <w:p w:rsidR="00EE4D9D" w:rsidRDefault="00EE4D9D" w:rsidP="00EE4D9D">
            <w:pPr>
              <w:jc w:val="center"/>
              <w:rPr>
                <w:b/>
                <w:sz w:val="24"/>
                <w:szCs w:val="24"/>
              </w:rPr>
            </w:pPr>
            <w:r>
              <w:rPr>
                <w:b/>
                <w:sz w:val="24"/>
                <w:szCs w:val="24"/>
              </w:rPr>
              <w:t>of RTI applications in 2014-15</w:t>
            </w:r>
          </w:p>
          <w:p w:rsidR="00EE4D9D" w:rsidRDefault="00EE4D9D" w:rsidP="00EE4D9D">
            <w:pPr>
              <w:jc w:val="center"/>
              <w:rPr>
                <w:b/>
                <w:sz w:val="24"/>
                <w:szCs w:val="24"/>
              </w:rPr>
            </w:pPr>
            <w:r>
              <w:rPr>
                <w:i/>
                <w:sz w:val="24"/>
                <w:szCs w:val="24"/>
              </w:rPr>
              <w:t>(includes 2013-14 backlog, where reported)</w:t>
            </w:r>
            <w:r>
              <w:rPr>
                <w:rStyle w:val="FootnoteReference"/>
                <w:i/>
                <w:sz w:val="24"/>
                <w:szCs w:val="24"/>
              </w:rPr>
              <w:footnoteReference w:id="6"/>
            </w:r>
          </w:p>
        </w:tc>
        <w:tc>
          <w:tcPr>
            <w:tcW w:w="1620" w:type="dxa"/>
            <w:tcBorders>
              <w:top w:val="single" w:sz="4" w:space="0" w:color="000000"/>
              <w:left w:val="single" w:sz="4" w:space="0" w:color="000000"/>
              <w:bottom w:val="single" w:sz="4" w:space="0" w:color="000000"/>
              <w:right w:val="single" w:sz="4" w:space="0" w:color="000000"/>
            </w:tcBorders>
            <w:hideMark/>
          </w:tcPr>
          <w:p w:rsidR="00EE4D9D" w:rsidRDefault="00EE4D9D" w:rsidP="00EE4D9D">
            <w:pPr>
              <w:jc w:val="center"/>
              <w:rPr>
                <w:b/>
                <w:sz w:val="24"/>
                <w:szCs w:val="24"/>
              </w:rPr>
            </w:pPr>
            <w:r>
              <w:rPr>
                <w:b/>
                <w:sz w:val="24"/>
                <w:szCs w:val="24"/>
              </w:rPr>
              <w:t xml:space="preserve">Total No. </w:t>
            </w:r>
          </w:p>
          <w:p w:rsidR="00EE4D9D" w:rsidRDefault="00EE4D9D" w:rsidP="00EE4D9D">
            <w:pPr>
              <w:jc w:val="center"/>
              <w:rPr>
                <w:b/>
                <w:sz w:val="24"/>
                <w:szCs w:val="24"/>
              </w:rPr>
            </w:pPr>
            <w:r>
              <w:rPr>
                <w:b/>
                <w:sz w:val="24"/>
                <w:szCs w:val="24"/>
              </w:rPr>
              <w:t>of RTI applications in 2015-16</w:t>
            </w:r>
          </w:p>
          <w:p w:rsidR="00EE4D9D" w:rsidRDefault="00EE4D9D" w:rsidP="00EE4D9D">
            <w:pPr>
              <w:jc w:val="center"/>
              <w:rPr>
                <w:b/>
                <w:sz w:val="24"/>
                <w:szCs w:val="24"/>
              </w:rPr>
            </w:pPr>
            <w:r>
              <w:rPr>
                <w:i/>
                <w:sz w:val="24"/>
                <w:szCs w:val="24"/>
              </w:rPr>
              <w:t>(backlog from 2014-15 + receipts in 2015-16 = total)</w:t>
            </w:r>
            <w:r>
              <w:rPr>
                <w:rStyle w:val="FootnoteReference"/>
                <w:sz w:val="24"/>
                <w:szCs w:val="24"/>
              </w:rPr>
              <w:footnoteReference w:id="7"/>
            </w:r>
          </w:p>
        </w:tc>
        <w:tc>
          <w:tcPr>
            <w:tcW w:w="1620" w:type="dxa"/>
            <w:tcBorders>
              <w:top w:val="single" w:sz="4" w:space="0" w:color="000000"/>
              <w:left w:val="single" w:sz="4" w:space="0" w:color="000000"/>
              <w:bottom w:val="single" w:sz="4" w:space="0" w:color="000000"/>
              <w:right w:val="single" w:sz="4" w:space="0" w:color="000000"/>
            </w:tcBorders>
          </w:tcPr>
          <w:p w:rsidR="00EE4D9D" w:rsidRDefault="00EE4D9D" w:rsidP="00EE4D9D">
            <w:pPr>
              <w:jc w:val="center"/>
              <w:rPr>
                <w:b/>
                <w:sz w:val="24"/>
                <w:szCs w:val="24"/>
              </w:rPr>
            </w:pPr>
            <w:r>
              <w:rPr>
                <w:b/>
                <w:sz w:val="24"/>
                <w:szCs w:val="24"/>
              </w:rPr>
              <w:t xml:space="preserve">%age change in the number of RTI applica-tions </w:t>
            </w:r>
            <w:r w:rsidR="00322174">
              <w:rPr>
                <w:b/>
                <w:sz w:val="24"/>
                <w:szCs w:val="24"/>
              </w:rPr>
              <w:t>received</w:t>
            </w:r>
            <w:r>
              <w:rPr>
                <w:b/>
                <w:sz w:val="24"/>
                <w:szCs w:val="24"/>
              </w:rPr>
              <w:t xml:space="preserve"> between 2014-15 and 2015-16</w:t>
            </w:r>
          </w:p>
          <w:p w:rsidR="00EE4D9D" w:rsidRDefault="00EE4D9D" w:rsidP="00EE4D9D">
            <w:pPr>
              <w:jc w:val="center"/>
              <w:rPr>
                <w:b/>
                <w:sz w:val="24"/>
                <w:szCs w:val="24"/>
              </w:rPr>
            </w:pPr>
            <w:r>
              <w:rPr>
                <w:b/>
                <w:sz w:val="24"/>
                <w:szCs w:val="24"/>
              </w:rPr>
              <w:t>(+ = increase</w:t>
            </w:r>
          </w:p>
          <w:p w:rsidR="00EE4D9D" w:rsidRDefault="00EE4D9D" w:rsidP="00EE4D9D">
            <w:pPr>
              <w:jc w:val="center"/>
              <w:rPr>
                <w:b/>
                <w:sz w:val="24"/>
                <w:szCs w:val="24"/>
              </w:rPr>
            </w:pPr>
            <w:r>
              <w:rPr>
                <w:b/>
                <w:sz w:val="24"/>
                <w:szCs w:val="24"/>
              </w:rPr>
              <w:t>- = decrease)</w:t>
            </w:r>
          </w:p>
        </w:tc>
        <w:tc>
          <w:tcPr>
            <w:tcW w:w="1643" w:type="dxa"/>
            <w:tcBorders>
              <w:top w:val="single" w:sz="4" w:space="0" w:color="000000"/>
              <w:left w:val="single" w:sz="4" w:space="0" w:color="000000"/>
              <w:bottom w:val="single" w:sz="4" w:space="0" w:color="000000"/>
              <w:right w:val="single" w:sz="4" w:space="0" w:color="000000"/>
            </w:tcBorders>
            <w:hideMark/>
          </w:tcPr>
          <w:p w:rsidR="00EE4D9D" w:rsidRDefault="00EE4D9D" w:rsidP="00EE4D9D">
            <w:pPr>
              <w:jc w:val="center"/>
              <w:rPr>
                <w:b/>
                <w:sz w:val="24"/>
                <w:szCs w:val="24"/>
              </w:rPr>
            </w:pPr>
            <w:r>
              <w:rPr>
                <w:b/>
                <w:sz w:val="24"/>
                <w:szCs w:val="24"/>
              </w:rPr>
              <w:t xml:space="preserve">Total No. </w:t>
            </w:r>
          </w:p>
          <w:p w:rsidR="00EE4D9D" w:rsidRDefault="00EE4D9D" w:rsidP="00EE4D9D">
            <w:pPr>
              <w:jc w:val="center"/>
              <w:rPr>
                <w:b/>
                <w:sz w:val="24"/>
                <w:szCs w:val="24"/>
              </w:rPr>
            </w:pPr>
            <w:r>
              <w:rPr>
                <w:b/>
                <w:sz w:val="24"/>
                <w:szCs w:val="24"/>
              </w:rPr>
              <w:t>of RTI applications in 2016-17</w:t>
            </w:r>
          </w:p>
          <w:p w:rsidR="00EE4D9D" w:rsidRDefault="00EE4D9D" w:rsidP="00EE4D9D">
            <w:pPr>
              <w:jc w:val="center"/>
              <w:rPr>
                <w:b/>
                <w:sz w:val="24"/>
                <w:szCs w:val="24"/>
              </w:rPr>
            </w:pPr>
            <w:r>
              <w:rPr>
                <w:i/>
                <w:sz w:val="24"/>
                <w:szCs w:val="24"/>
              </w:rPr>
              <w:t>(backlog from 2015-16 + receipts in 2016-17 = total</w:t>
            </w:r>
          </w:p>
        </w:tc>
        <w:tc>
          <w:tcPr>
            <w:tcW w:w="1530" w:type="dxa"/>
            <w:tcBorders>
              <w:top w:val="single" w:sz="4" w:space="0" w:color="000000"/>
              <w:left w:val="single" w:sz="4" w:space="0" w:color="000000"/>
              <w:bottom w:val="single" w:sz="4" w:space="0" w:color="000000"/>
              <w:right w:val="single" w:sz="4" w:space="0" w:color="000000"/>
            </w:tcBorders>
            <w:hideMark/>
          </w:tcPr>
          <w:p w:rsidR="00EE4D9D" w:rsidRDefault="00EE4D9D" w:rsidP="00EE4D9D">
            <w:pPr>
              <w:jc w:val="center"/>
              <w:rPr>
                <w:b/>
                <w:sz w:val="24"/>
                <w:szCs w:val="24"/>
              </w:rPr>
            </w:pPr>
            <w:r>
              <w:rPr>
                <w:b/>
                <w:sz w:val="24"/>
                <w:szCs w:val="24"/>
              </w:rPr>
              <w:t xml:space="preserve">%age change in the number of RTI applica-tions </w:t>
            </w:r>
            <w:r w:rsidR="00930D0E">
              <w:rPr>
                <w:b/>
                <w:sz w:val="24"/>
                <w:szCs w:val="24"/>
              </w:rPr>
              <w:t xml:space="preserve">received </w:t>
            </w:r>
            <w:r>
              <w:rPr>
                <w:b/>
                <w:sz w:val="24"/>
                <w:szCs w:val="24"/>
              </w:rPr>
              <w:t>between 2015-16 and 2016-17</w:t>
            </w:r>
          </w:p>
          <w:p w:rsidR="00EE4D9D" w:rsidRDefault="00EE4D9D" w:rsidP="00EE4D9D">
            <w:pPr>
              <w:jc w:val="center"/>
              <w:rPr>
                <w:b/>
                <w:sz w:val="24"/>
                <w:szCs w:val="24"/>
              </w:rPr>
            </w:pPr>
            <w:r>
              <w:rPr>
                <w:b/>
                <w:sz w:val="24"/>
                <w:szCs w:val="24"/>
              </w:rPr>
              <w:t>(+ = increase</w:t>
            </w:r>
          </w:p>
          <w:p w:rsidR="00EE4D9D" w:rsidRDefault="00EE4D9D" w:rsidP="00EE4D9D">
            <w:pPr>
              <w:jc w:val="center"/>
              <w:rPr>
                <w:b/>
                <w:sz w:val="24"/>
                <w:szCs w:val="24"/>
              </w:rPr>
            </w:pPr>
            <w:r>
              <w:rPr>
                <w:b/>
                <w:sz w:val="24"/>
                <w:szCs w:val="24"/>
              </w:rPr>
              <w:t>- = decrease)</w:t>
            </w:r>
          </w:p>
        </w:tc>
        <w:tc>
          <w:tcPr>
            <w:tcW w:w="1147" w:type="dxa"/>
            <w:tcBorders>
              <w:top w:val="single" w:sz="4" w:space="0" w:color="000000"/>
              <w:left w:val="single" w:sz="4" w:space="0" w:color="000000"/>
              <w:bottom w:val="single" w:sz="4" w:space="0" w:color="000000"/>
              <w:right w:val="single" w:sz="4" w:space="0" w:color="000000"/>
            </w:tcBorders>
            <w:hideMark/>
          </w:tcPr>
          <w:p w:rsidR="00EE4D9D" w:rsidRDefault="00EE4D9D" w:rsidP="00EE4D9D">
            <w:pPr>
              <w:jc w:val="center"/>
              <w:rPr>
                <w:b/>
                <w:sz w:val="24"/>
                <w:szCs w:val="24"/>
              </w:rPr>
            </w:pPr>
            <w:r>
              <w:rPr>
                <w:b/>
                <w:sz w:val="24"/>
                <w:szCs w:val="24"/>
              </w:rPr>
              <w:t>%age of RTI applicat</w:t>
            </w:r>
            <w:r w:rsidR="00B55E02">
              <w:rPr>
                <w:b/>
                <w:sz w:val="24"/>
                <w:szCs w:val="24"/>
              </w:rPr>
              <w:t>-</w:t>
            </w:r>
            <w:r>
              <w:rPr>
                <w:b/>
                <w:sz w:val="24"/>
                <w:szCs w:val="24"/>
              </w:rPr>
              <w:t xml:space="preserve">ions rejected by the Bank in </w:t>
            </w:r>
          </w:p>
          <w:p w:rsidR="00EE4D9D" w:rsidRDefault="00EE4D9D" w:rsidP="00EE4D9D">
            <w:pPr>
              <w:jc w:val="center"/>
              <w:rPr>
                <w:b/>
                <w:sz w:val="24"/>
                <w:szCs w:val="24"/>
              </w:rPr>
            </w:pPr>
            <w:r>
              <w:rPr>
                <w:b/>
                <w:sz w:val="24"/>
                <w:szCs w:val="24"/>
              </w:rPr>
              <w:t>2014-15</w:t>
            </w:r>
          </w:p>
        </w:tc>
        <w:tc>
          <w:tcPr>
            <w:tcW w:w="1237" w:type="dxa"/>
            <w:tcBorders>
              <w:top w:val="single" w:sz="4" w:space="0" w:color="000000"/>
              <w:left w:val="single" w:sz="4" w:space="0" w:color="000000"/>
              <w:bottom w:val="single" w:sz="4" w:space="0" w:color="000000"/>
              <w:right w:val="single" w:sz="4" w:space="0" w:color="000000"/>
            </w:tcBorders>
            <w:hideMark/>
          </w:tcPr>
          <w:p w:rsidR="00EE4D9D" w:rsidRDefault="00EE4D9D" w:rsidP="00EE4D9D">
            <w:pPr>
              <w:jc w:val="center"/>
              <w:rPr>
                <w:b/>
                <w:sz w:val="24"/>
                <w:szCs w:val="24"/>
              </w:rPr>
            </w:pPr>
            <w:r>
              <w:rPr>
                <w:b/>
                <w:sz w:val="24"/>
                <w:szCs w:val="24"/>
              </w:rPr>
              <w:t xml:space="preserve">%age of RTI applica-tions rejected by the Bank in </w:t>
            </w:r>
          </w:p>
          <w:p w:rsidR="00EE4D9D" w:rsidRDefault="00EE4D9D" w:rsidP="00EE4D9D">
            <w:pPr>
              <w:jc w:val="center"/>
              <w:rPr>
                <w:b/>
                <w:sz w:val="24"/>
                <w:szCs w:val="24"/>
              </w:rPr>
            </w:pPr>
            <w:r>
              <w:rPr>
                <w:b/>
                <w:sz w:val="24"/>
                <w:szCs w:val="24"/>
              </w:rPr>
              <w:t>2015-16</w:t>
            </w:r>
          </w:p>
        </w:tc>
        <w:tc>
          <w:tcPr>
            <w:tcW w:w="1350" w:type="dxa"/>
            <w:tcBorders>
              <w:top w:val="single" w:sz="4" w:space="0" w:color="000000"/>
              <w:left w:val="single" w:sz="4" w:space="0" w:color="000000"/>
              <w:bottom w:val="single" w:sz="4" w:space="0" w:color="000000"/>
              <w:right w:val="single" w:sz="4" w:space="0" w:color="000000"/>
            </w:tcBorders>
            <w:hideMark/>
          </w:tcPr>
          <w:p w:rsidR="00EE4D9D" w:rsidRDefault="00EE4D9D" w:rsidP="00EE4D9D">
            <w:pPr>
              <w:jc w:val="center"/>
              <w:rPr>
                <w:b/>
                <w:sz w:val="24"/>
                <w:szCs w:val="24"/>
              </w:rPr>
            </w:pPr>
            <w:r>
              <w:rPr>
                <w:b/>
                <w:sz w:val="24"/>
                <w:szCs w:val="24"/>
              </w:rPr>
              <w:t xml:space="preserve">%age of RTI applica-tions rejected by the Bank in </w:t>
            </w:r>
          </w:p>
          <w:p w:rsidR="00EE4D9D" w:rsidRDefault="00EE4D9D" w:rsidP="00EE4D9D">
            <w:pPr>
              <w:jc w:val="center"/>
              <w:rPr>
                <w:b/>
                <w:sz w:val="24"/>
                <w:szCs w:val="24"/>
              </w:rPr>
            </w:pPr>
            <w:r>
              <w:rPr>
                <w:b/>
                <w:sz w:val="24"/>
                <w:szCs w:val="24"/>
              </w:rPr>
              <w:t>2016-17</w:t>
            </w:r>
          </w:p>
        </w:tc>
        <w:tc>
          <w:tcPr>
            <w:tcW w:w="1170" w:type="dxa"/>
            <w:tcBorders>
              <w:top w:val="single" w:sz="4" w:space="0" w:color="000000"/>
              <w:left w:val="single" w:sz="4" w:space="0" w:color="000000"/>
              <w:bottom w:val="single" w:sz="4" w:space="0" w:color="000000"/>
              <w:right w:val="single" w:sz="4" w:space="0" w:color="000000"/>
            </w:tcBorders>
            <w:hideMark/>
          </w:tcPr>
          <w:p w:rsidR="00EE4D9D" w:rsidRDefault="00EE4D9D">
            <w:pPr>
              <w:jc w:val="center"/>
              <w:rPr>
                <w:b/>
                <w:sz w:val="24"/>
                <w:szCs w:val="24"/>
              </w:rPr>
            </w:pPr>
            <w:r>
              <w:rPr>
                <w:b/>
                <w:sz w:val="24"/>
                <w:szCs w:val="24"/>
              </w:rPr>
              <w:t>No. of offices across the country</w:t>
            </w:r>
          </w:p>
          <w:p w:rsidR="00EE4D9D" w:rsidRDefault="00EE4D9D" w:rsidP="00EE4D9D">
            <w:pPr>
              <w:jc w:val="center"/>
              <w:rPr>
                <w:b/>
                <w:sz w:val="24"/>
                <w:szCs w:val="24"/>
              </w:rPr>
            </w:pPr>
            <w:r>
              <w:rPr>
                <w:b/>
                <w:sz w:val="24"/>
                <w:szCs w:val="24"/>
              </w:rPr>
              <w:t>(as on March 2017)</w:t>
            </w:r>
            <w:r>
              <w:rPr>
                <w:rStyle w:val="FootnoteReference"/>
                <w:sz w:val="24"/>
                <w:szCs w:val="24"/>
              </w:rPr>
              <w:footnoteReference w:id="8"/>
            </w:r>
          </w:p>
        </w:tc>
        <w:tc>
          <w:tcPr>
            <w:tcW w:w="1170" w:type="dxa"/>
            <w:tcBorders>
              <w:top w:val="single" w:sz="4" w:space="0" w:color="000000"/>
              <w:left w:val="single" w:sz="4" w:space="0" w:color="000000"/>
              <w:bottom w:val="single" w:sz="4" w:space="0" w:color="000000"/>
              <w:right w:val="single" w:sz="4" w:space="0" w:color="000000"/>
            </w:tcBorders>
            <w:hideMark/>
          </w:tcPr>
          <w:p w:rsidR="00EE4D9D" w:rsidRDefault="00EE4D9D" w:rsidP="00EE4D9D">
            <w:pPr>
              <w:jc w:val="center"/>
              <w:rPr>
                <w:b/>
                <w:sz w:val="24"/>
                <w:szCs w:val="24"/>
              </w:rPr>
            </w:pPr>
            <w:r>
              <w:rPr>
                <w:b/>
                <w:sz w:val="24"/>
                <w:szCs w:val="24"/>
              </w:rPr>
              <w:t>Average number of RTI applicat</w:t>
            </w:r>
            <w:r w:rsidR="00F37868">
              <w:rPr>
                <w:b/>
                <w:sz w:val="24"/>
                <w:szCs w:val="24"/>
              </w:rPr>
              <w:t>-</w:t>
            </w:r>
            <w:r>
              <w:rPr>
                <w:b/>
                <w:sz w:val="24"/>
                <w:szCs w:val="24"/>
              </w:rPr>
              <w:t>ions per office in 2016-17</w:t>
            </w:r>
          </w:p>
        </w:tc>
        <w:tc>
          <w:tcPr>
            <w:tcW w:w="1597" w:type="dxa"/>
            <w:tcBorders>
              <w:top w:val="single" w:sz="4" w:space="0" w:color="000000"/>
              <w:left w:val="single" w:sz="4" w:space="0" w:color="000000"/>
              <w:bottom w:val="single" w:sz="4" w:space="0" w:color="000000"/>
              <w:right w:val="single" w:sz="4" w:space="0" w:color="000000"/>
            </w:tcBorders>
            <w:hideMark/>
          </w:tcPr>
          <w:p w:rsidR="00D91523" w:rsidRDefault="00D91523" w:rsidP="00D91523">
            <w:pPr>
              <w:jc w:val="center"/>
              <w:rPr>
                <w:b/>
                <w:sz w:val="24"/>
                <w:szCs w:val="24"/>
              </w:rPr>
            </w:pPr>
            <w:r>
              <w:rPr>
                <w:b/>
                <w:sz w:val="24"/>
                <w:szCs w:val="24"/>
              </w:rPr>
              <w:t>Volume of Net NPAs as on 31 March, 2016</w:t>
            </w:r>
          </w:p>
          <w:p w:rsidR="00EE4D9D" w:rsidRDefault="00D91523" w:rsidP="00D91523">
            <w:pPr>
              <w:jc w:val="center"/>
              <w:rPr>
                <w:b/>
                <w:sz w:val="24"/>
                <w:szCs w:val="24"/>
              </w:rPr>
            </w:pPr>
            <w:r>
              <w:rPr>
                <w:b/>
                <w:sz w:val="24"/>
                <w:szCs w:val="24"/>
              </w:rPr>
              <w:t>(in crore Rs.)</w:t>
            </w:r>
            <w:r>
              <w:rPr>
                <w:rStyle w:val="FootnoteReference"/>
                <w:sz w:val="24"/>
                <w:szCs w:val="24"/>
              </w:rPr>
              <w:footnoteReference w:id="9"/>
            </w:r>
          </w:p>
        </w:tc>
        <w:tc>
          <w:tcPr>
            <w:tcW w:w="1463" w:type="dxa"/>
            <w:tcBorders>
              <w:top w:val="single" w:sz="4" w:space="0" w:color="000000"/>
              <w:left w:val="single" w:sz="4" w:space="0" w:color="000000"/>
              <w:bottom w:val="single" w:sz="4" w:space="0" w:color="000000"/>
              <w:right w:val="single" w:sz="4" w:space="0" w:color="000000"/>
            </w:tcBorders>
            <w:hideMark/>
          </w:tcPr>
          <w:p w:rsidR="00D91523" w:rsidRDefault="00D91523" w:rsidP="00D91523">
            <w:pPr>
              <w:jc w:val="center"/>
              <w:rPr>
                <w:b/>
                <w:sz w:val="24"/>
                <w:szCs w:val="24"/>
              </w:rPr>
            </w:pPr>
            <w:r>
              <w:rPr>
                <w:b/>
                <w:sz w:val="24"/>
                <w:szCs w:val="24"/>
              </w:rPr>
              <w:t>Volume of Net NPAs as on 31 March, 2017</w:t>
            </w:r>
          </w:p>
          <w:p w:rsidR="00EE4D9D" w:rsidRDefault="00D91523" w:rsidP="00D91523">
            <w:pPr>
              <w:jc w:val="center"/>
              <w:rPr>
                <w:b/>
                <w:sz w:val="24"/>
                <w:szCs w:val="24"/>
              </w:rPr>
            </w:pPr>
            <w:r>
              <w:rPr>
                <w:b/>
                <w:sz w:val="24"/>
                <w:szCs w:val="24"/>
              </w:rPr>
              <w:t>(in crore Rs.)</w:t>
            </w:r>
            <w:r>
              <w:rPr>
                <w:rStyle w:val="FootnoteReference"/>
                <w:sz w:val="24"/>
                <w:szCs w:val="24"/>
              </w:rPr>
              <w:footnoteReference w:id="10"/>
            </w:r>
          </w:p>
        </w:tc>
        <w:tc>
          <w:tcPr>
            <w:tcW w:w="1530" w:type="dxa"/>
            <w:tcBorders>
              <w:top w:val="single" w:sz="4" w:space="0" w:color="000000"/>
              <w:left w:val="single" w:sz="4" w:space="0" w:color="000000"/>
              <w:bottom w:val="single" w:sz="4" w:space="0" w:color="000000"/>
              <w:right w:val="single" w:sz="4" w:space="0" w:color="000000"/>
            </w:tcBorders>
            <w:hideMark/>
          </w:tcPr>
          <w:p w:rsidR="00EE4D9D" w:rsidRDefault="00EE4D9D">
            <w:pPr>
              <w:jc w:val="center"/>
              <w:rPr>
                <w:b/>
                <w:sz w:val="24"/>
                <w:szCs w:val="24"/>
              </w:rPr>
            </w:pPr>
            <w:r>
              <w:rPr>
                <w:b/>
                <w:sz w:val="24"/>
                <w:szCs w:val="24"/>
              </w:rPr>
              <w:t>%age change in the volume of Net NPAs between 201</w:t>
            </w:r>
            <w:r w:rsidR="00D91523">
              <w:rPr>
                <w:b/>
                <w:sz w:val="24"/>
                <w:szCs w:val="24"/>
              </w:rPr>
              <w:t>6</w:t>
            </w:r>
            <w:r>
              <w:rPr>
                <w:b/>
                <w:sz w:val="24"/>
                <w:szCs w:val="24"/>
              </w:rPr>
              <w:t>-201</w:t>
            </w:r>
            <w:r w:rsidR="00D91523">
              <w:rPr>
                <w:b/>
                <w:sz w:val="24"/>
                <w:szCs w:val="24"/>
              </w:rPr>
              <w:t>7</w:t>
            </w:r>
          </w:p>
          <w:p w:rsidR="00EE4D9D" w:rsidRDefault="00EE4D9D">
            <w:pPr>
              <w:jc w:val="center"/>
              <w:rPr>
                <w:b/>
                <w:sz w:val="24"/>
                <w:szCs w:val="24"/>
              </w:rPr>
            </w:pPr>
            <w:r>
              <w:rPr>
                <w:b/>
                <w:sz w:val="24"/>
                <w:szCs w:val="24"/>
              </w:rPr>
              <w:t>(+ = increase</w:t>
            </w:r>
          </w:p>
          <w:p w:rsidR="00EE4D9D" w:rsidRDefault="00EE4D9D">
            <w:pPr>
              <w:jc w:val="center"/>
              <w:rPr>
                <w:b/>
                <w:sz w:val="24"/>
                <w:szCs w:val="24"/>
              </w:rPr>
            </w:pPr>
            <w:r>
              <w:rPr>
                <w:b/>
                <w:sz w:val="24"/>
                <w:szCs w:val="24"/>
              </w:rPr>
              <w:t>- = decrease)</w:t>
            </w:r>
          </w:p>
        </w:tc>
      </w:tr>
      <w:tr w:rsidR="00B52643" w:rsidTr="00B55E02">
        <w:tc>
          <w:tcPr>
            <w:tcW w:w="521" w:type="dxa"/>
            <w:tcBorders>
              <w:top w:val="single" w:sz="4" w:space="0" w:color="000000"/>
              <w:left w:val="single" w:sz="4" w:space="0" w:color="000000"/>
              <w:bottom w:val="single" w:sz="4" w:space="0" w:color="000000"/>
              <w:right w:val="single" w:sz="4" w:space="0" w:color="000000"/>
            </w:tcBorders>
            <w:hideMark/>
          </w:tcPr>
          <w:p w:rsidR="00B52643" w:rsidRDefault="00B52643" w:rsidP="00B52643">
            <w:pPr>
              <w:rPr>
                <w:sz w:val="24"/>
                <w:szCs w:val="24"/>
              </w:rPr>
            </w:pPr>
            <w:r>
              <w:rPr>
                <w:sz w:val="24"/>
                <w:szCs w:val="24"/>
              </w:rPr>
              <w:t>1.</w:t>
            </w:r>
          </w:p>
        </w:tc>
        <w:tc>
          <w:tcPr>
            <w:tcW w:w="2179" w:type="dxa"/>
            <w:tcBorders>
              <w:top w:val="single" w:sz="4" w:space="0" w:color="000000"/>
              <w:left w:val="single" w:sz="4" w:space="0" w:color="000000"/>
              <w:bottom w:val="single" w:sz="4" w:space="0" w:color="000000"/>
              <w:right w:val="single" w:sz="4" w:space="0" w:color="000000"/>
            </w:tcBorders>
            <w:hideMark/>
          </w:tcPr>
          <w:p w:rsidR="00B52643" w:rsidRDefault="00B52643" w:rsidP="00B52643">
            <w:pPr>
              <w:rPr>
                <w:b/>
                <w:sz w:val="24"/>
                <w:szCs w:val="24"/>
              </w:rPr>
            </w:pPr>
            <w:r>
              <w:rPr>
                <w:b/>
                <w:sz w:val="24"/>
                <w:szCs w:val="24"/>
              </w:rPr>
              <w:t>Allahabad Bank</w:t>
            </w:r>
          </w:p>
        </w:tc>
        <w:tc>
          <w:tcPr>
            <w:tcW w:w="1620" w:type="dxa"/>
            <w:tcBorders>
              <w:top w:val="single" w:sz="4" w:space="0" w:color="000000"/>
              <w:left w:val="single" w:sz="4" w:space="0" w:color="000000"/>
              <w:bottom w:val="single" w:sz="4" w:space="0" w:color="000000"/>
              <w:right w:val="single" w:sz="4" w:space="0" w:color="000000"/>
            </w:tcBorders>
          </w:tcPr>
          <w:p w:rsidR="00B52643" w:rsidRDefault="00B52643" w:rsidP="00B52643">
            <w:pPr>
              <w:spacing w:after="0" w:line="240" w:lineRule="auto"/>
              <w:jc w:val="right"/>
              <w:rPr>
                <w:sz w:val="24"/>
                <w:szCs w:val="24"/>
              </w:rPr>
            </w:pPr>
            <w:r>
              <w:rPr>
                <w:sz w:val="24"/>
                <w:szCs w:val="24"/>
              </w:rPr>
              <w:t>73 + 2,857</w:t>
            </w:r>
          </w:p>
          <w:p w:rsidR="00B52643" w:rsidRPr="00205D47" w:rsidRDefault="00B52643" w:rsidP="00C32E32">
            <w:pPr>
              <w:spacing w:after="0" w:line="240" w:lineRule="auto"/>
              <w:jc w:val="right"/>
              <w:rPr>
                <w:sz w:val="24"/>
                <w:szCs w:val="24"/>
              </w:rPr>
            </w:pPr>
            <w:r>
              <w:rPr>
                <w:sz w:val="24"/>
                <w:szCs w:val="24"/>
              </w:rPr>
              <w:t>=</w:t>
            </w:r>
            <w:r w:rsidRPr="00896FFD">
              <w:rPr>
                <w:b/>
                <w:sz w:val="24"/>
                <w:szCs w:val="24"/>
              </w:rPr>
              <w:t>2,930</w:t>
            </w:r>
          </w:p>
        </w:tc>
        <w:tc>
          <w:tcPr>
            <w:tcW w:w="1620" w:type="dxa"/>
            <w:tcBorders>
              <w:top w:val="single" w:sz="4" w:space="0" w:color="000000"/>
              <w:left w:val="single" w:sz="4" w:space="0" w:color="000000"/>
              <w:bottom w:val="single" w:sz="4" w:space="0" w:color="000000"/>
              <w:right w:val="single" w:sz="4" w:space="0" w:color="000000"/>
            </w:tcBorders>
          </w:tcPr>
          <w:p w:rsidR="00DC1C50" w:rsidRDefault="00B52643" w:rsidP="00DC1C50">
            <w:pPr>
              <w:spacing w:after="0" w:line="240" w:lineRule="auto"/>
              <w:jc w:val="right"/>
              <w:rPr>
                <w:sz w:val="24"/>
                <w:szCs w:val="24"/>
              </w:rPr>
            </w:pPr>
            <w:r>
              <w:rPr>
                <w:sz w:val="24"/>
                <w:szCs w:val="24"/>
              </w:rPr>
              <w:t>95 + 2,976</w:t>
            </w:r>
          </w:p>
          <w:p w:rsidR="00B52643" w:rsidRDefault="00B52643" w:rsidP="00DC1C50">
            <w:pPr>
              <w:spacing w:after="0" w:line="240" w:lineRule="auto"/>
              <w:jc w:val="right"/>
              <w:rPr>
                <w:sz w:val="24"/>
                <w:szCs w:val="24"/>
              </w:rPr>
            </w:pPr>
            <w:r>
              <w:rPr>
                <w:sz w:val="24"/>
                <w:szCs w:val="24"/>
              </w:rPr>
              <w:t>=</w:t>
            </w:r>
            <w:r>
              <w:rPr>
                <w:b/>
                <w:sz w:val="24"/>
                <w:szCs w:val="24"/>
              </w:rPr>
              <w:t>3,071</w:t>
            </w:r>
          </w:p>
        </w:tc>
        <w:tc>
          <w:tcPr>
            <w:tcW w:w="1620" w:type="dxa"/>
            <w:tcBorders>
              <w:top w:val="single" w:sz="4" w:space="0" w:color="000000"/>
              <w:left w:val="single" w:sz="4" w:space="0" w:color="000000"/>
              <w:bottom w:val="single" w:sz="4" w:space="0" w:color="000000"/>
              <w:right w:val="single" w:sz="4" w:space="0" w:color="000000"/>
            </w:tcBorders>
          </w:tcPr>
          <w:p w:rsidR="00B52643" w:rsidRDefault="00F1209A" w:rsidP="00F1209A">
            <w:pPr>
              <w:jc w:val="right"/>
              <w:rPr>
                <w:sz w:val="24"/>
                <w:szCs w:val="24"/>
              </w:rPr>
            </w:pPr>
            <w:r>
              <w:rPr>
                <w:sz w:val="24"/>
                <w:szCs w:val="24"/>
              </w:rPr>
              <w:t>+4.17</w:t>
            </w:r>
            <w:r w:rsidR="00B52643">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B52643" w:rsidRDefault="00B52643" w:rsidP="00B52643">
            <w:pPr>
              <w:spacing w:after="0" w:line="240" w:lineRule="auto"/>
              <w:jc w:val="right"/>
              <w:rPr>
                <w:sz w:val="24"/>
                <w:szCs w:val="24"/>
              </w:rPr>
            </w:pPr>
            <w:r>
              <w:rPr>
                <w:sz w:val="24"/>
                <w:szCs w:val="24"/>
              </w:rPr>
              <w:t>91 + 2,668</w:t>
            </w:r>
          </w:p>
          <w:p w:rsidR="00B52643" w:rsidRPr="00205D47" w:rsidRDefault="00B52643" w:rsidP="00B52643">
            <w:pPr>
              <w:spacing w:after="0" w:line="240" w:lineRule="auto"/>
              <w:jc w:val="right"/>
              <w:rPr>
                <w:sz w:val="24"/>
                <w:szCs w:val="24"/>
              </w:rPr>
            </w:pPr>
            <w:r>
              <w:rPr>
                <w:b/>
                <w:sz w:val="24"/>
                <w:szCs w:val="24"/>
              </w:rPr>
              <w:t>=</w:t>
            </w:r>
            <w:r w:rsidRPr="00502CF0">
              <w:rPr>
                <w:b/>
                <w:sz w:val="24"/>
                <w:szCs w:val="24"/>
              </w:rPr>
              <w:t>2,759</w:t>
            </w:r>
          </w:p>
        </w:tc>
        <w:tc>
          <w:tcPr>
            <w:tcW w:w="1530" w:type="dxa"/>
            <w:tcBorders>
              <w:top w:val="single" w:sz="4" w:space="0" w:color="000000"/>
              <w:left w:val="single" w:sz="4" w:space="0" w:color="000000"/>
              <w:bottom w:val="single" w:sz="4" w:space="0" w:color="000000"/>
              <w:right w:val="single" w:sz="4" w:space="0" w:color="000000"/>
            </w:tcBorders>
          </w:tcPr>
          <w:p w:rsidR="00B52643" w:rsidRDefault="004A240B" w:rsidP="00B52643">
            <w:pPr>
              <w:jc w:val="right"/>
              <w:rPr>
                <w:sz w:val="24"/>
                <w:szCs w:val="24"/>
              </w:rPr>
            </w:pPr>
            <w:r>
              <w:rPr>
                <w:sz w:val="24"/>
                <w:szCs w:val="24"/>
              </w:rPr>
              <w:t>-10.35%</w:t>
            </w:r>
          </w:p>
        </w:tc>
        <w:tc>
          <w:tcPr>
            <w:tcW w:w="1147" w:type="dxa"/>
            <w:tcBorders>
              <w:top w:val="single" w:sz="4" w:space="0" w:color="000000"/>
              <w:left w:val="single" w:sz="4" w:space="0" w:color="000000"/>
              <w:bottom w:val="single" w:sz="4" w:space="0" w:color="000000"/>
              <w:right w:val="single" w:sz="4" w:space="0" w:color="000000"/>
            </w:tcBorders>
          </w:tcPr>
          <w:p w:rsidR="00B52643" w:rsidRDefault="00B52643" w:rsidP="00B52643">
            <w:pPr>
              <w:jc w:val="right"/>
              <w:rPr>
                <w:sz w:val="24"/>
                <w:szCs w:val="24"/>
              </w:rPr>
            </w:pPr>
            <w:r>
              <w:rPr>
                <w:sz w:val="24"/>
                <w:szCs w:val="24"/>
              </w:rPr>
              <w:t>35.9%</w:t>
            </w:r>
          </w:p>
        </w:tc>
        <w:tc>
          <w:tcPr>
            <w:tcW w:w="1237" w:type="dxa"/>
            <w:tcBorders>
              <w:top w:val="single" w:sz="4" w:space="0" w:color="000000"/>
              <w:left w:val="single" w:sz="4" w:space="0" w:color="000000"/>
              <w:bottom w:val="single" w:sz="4" w:space="0" w:color="000000"/>
              <w:right w:val="single" w:sz="4" w:space="0" w:color="000000"/>
            </w:tcBorders>
          </w:tcPr>
          <w:p w:rsidR="00B52643" w:rsidRDefault="00B52643" w:rsidP="00B52643">
            <w:pPr>
              <w:jc w:val="right"/>
              <w:rPr>
                <w:sz w:val="24"/>
                <w:szCs w:val="24"/>
              </w:rPr>
            </w:pPr>
            <w:r>
              <w:rPr>
                <w:sz w:val="24"/>
                <w:szCs w:val="24"/>
              </w:rPr>
              <w:t>36%</w:t>
            </w:r>
          </w:p>
        </w:tc>
        <w:tc>
          <w:tcPr>
            <w:tcW w:w="1350" w:type="dxa"/>
            <w:tcBorders>
              <w:top w:val="single" w:sz="4" w:space="0" w:color="000000"/>
              <w:left w:val="single" w:sz="4" w:space="0" w:color="000000"/>
              <w:bottom w:val="single" w:sz="4" w:space="0" w:color="000000"/>
              <w:right w:val="single" w:sz="4" w:space="0" w:color="000000"/>
            </w:tcBorders>
          </w:tcPr>
          <w:p w:rsidR="00B52643" w:rsidRPr="00205D47" w:rsidRDefault="00EF1905" w:rsidP="00B52643">
            <w:pPr>
              <w:spacing w:after="0" w:line="240" w:lineRule="auto"/>
              <w:jc w:val="right"/>
              <w:rPr>
                <w:sz w:val="24"/>
                <w:szCs w:val="24"/>
              </w:rPr>
            </w:pPr>
            <w:r>
              <w:rPr>
                <w:sz w:val="24"/>
                <w:szCs w:val="24"/>
              </w:rPr>
              <w:t>36.6</w:t>
            </w:r>
            <w:r w:rsidR="00B52643">
              <w:rPr>
                <w:sz w:val="24"/>
                <w:szCs w:val="24"/>
              </w:rPr>
              <w:t>%</w:t>
            </w:r>
          </w:p>
        </w:tc>
        <w:tc>
          <w:tcPr>
            <w:tcW w:w="1170" w:type="dxa"/>
            <w:tcBorders>
              <w:top w:val="single" w:sz="4" w:space="0" w:color="000000"/>
              <w:left w:val="single" w:sz="4" w:space="0" w:color="000000"/>
              <w:bottom w:val="single" w:sz="4" w:space="0" w:color="000000"/>
              <w:right w:val="single" w:sz="4" w:space="0" w:color="000000"/>
            </w:tcBorders>
          </w:tcPr>
          <w:p w:rsidR="00B52643" w:rsidRPr="00F37868" w:rsidRDefault="00F37868" w:rsidP="00B52643">
            <w:pPr>
              <w:jc w:val="right"/>
              <w:rPr>
                <w:sz w:val="24"/>
                <w:szCs w:val="24"/>
              </w:rPr>
            </w:pPr>
            <w:r w:rsidRPr="00F37868">
              <w:rPr>
                <w:sz w:val="24"/>
                <w:szCs w:val="24"/>
              </w:rPr>
              <w:t>3</w:t>
            </w:r>
            <w:r w:rsidR="00CB2242">
              <w:rPr>
                <w:sz w:val="24"/>
                <w:szCs w:val="24"/>
              </w:rPr>
              <w:t>,</w:t>
            </w:r>
            <w:r w:rsidRPr="00F37868">
              <w:rPr>
                <w:sz w:val="24"/>
                <w:szCs w:val="24"/>
              </w:rPr>
              <w:t>379</w:t>
            </w:r>
          </w:p>
        </w:tc>
        <w:tc>
          <w:tcPr>
            <w:tcW w:w="1170" w:type="dxa"/>
            <w:tcBorders>
              <w:top w:val="single" w:sz="4" w:space="0" w:color="000000"/>
              <w:left w:val="single" w:sz="4" w:space="0" w:color="000000"/>
              <w:bottom w:val="single" w:sz="4" w:space="0" w:color="000000"/>
              <w:right w:val="single" w:sz="4" w:space="0" w:color="000000"/>
            </w:tcBorders>
          </w:tcPr>
          <w:p w:rsidR="00B52643" w:rsidRDefault="00F37868" w:rsidP="00B52643">
            <w:pPr>
              <w:ind w:left="-250"/>
              <w:jc w:val="right"/>
              <w:rPr>
                <w:rFonts w:cs="Calibri"/>
                <w:color w:val="000000"/>
                <w:sz w:val="24"/>
                <w:szCs w:val="24"/>
              </w:rPr>
            </w:pPr>
            <w:r>
              <w:rPr>
                <w:rFonts w:cs="Calibri"/>
                <w:color w:val="000000"/>
                <w:sz w:val="24"/>
                <w:szCs w:val="24"/>
              </w:rPr>
              <w:t>0.79</w:t>
            </w:r>
          </w:p>
        </w:tc>
        <w:tc>
          <w:tcPr>
            <w:tcW w:w="1597" w:type="dxa"/>
            <w:tcBorders>
              <w:top w:val="single" w:sz="4" w:space="0" w:color="000000"/>
              <w:left w:val="single" w:sz="4" w:space="0" w:color="000000"/>
              <w:bottom w:val="single" w:sz="4" w:space="0" w:color="000000"/>
              <w:right w:val="single" w:sz="4" w:space="0" w:color="000000"/>
            </w:tcBorders>
          </w:tcPr>
          <w:p w:rsidR="00B52643" w:rsidRDefault="00B52643" w:rsidP="00B52643">
            <w:pPr>
              <w:ind w:left="-250"/>
              <w:jc w:val="right"/>
              <w:rPr>
                <w:rFonts w:cs="Calibri"/>
                <w:color w:val="000000"/>
                <w:sz w:val="24"/>
                <w:szCs w:val="24"/>
              </w:rPr>
            </w:pPr>
            <w:r>
              <w:rPr>
                <w:rFonts w:cs="Calibri"/>
                <w:color w:val="000000"/>
                <w:sz w:val="24"/>
                <w:szCs w:val="24"/>
              </w:rPr>
              <w:t>10,292.50</w:t>
            </w:r>
          </w:p>
        </w:tc>
        <w:tc>
          <w:tcPr>
            <w:tcW w:w="1463" w:type="dxa"/>
            <w:tcBorders>
              <w:top w:val="single" w:sz="4" w:space="0" w:color="000000"/>
              <w:left w:val="single" w:sz="4" w:space="0" w:color="000000"/>
              <w:bottom w:val="single" w:sz="4" w:space="0" w:color="000000"/>
              <w:right w:val="single" w:sz="4" w:space="0" w:color="000000"/>
            </w:tcBorders>
          </w:tcPr>
          <w:p w:rsidR="00B52643" w:rsidRDefault="00CB2242" w:rsidP="00B52643">
            <w:pPr>
              <w:ind w:left="-250"/>
              <w:jc w:val="right"/>
              <w:rPr>
                <w:rFonts w:cs="Calibri"/>
                <w:color w:val="000000"/>
                <w:sz w:val="24"/>
                <w:szCs w:val="24"/>
              </w:rPr>
            </w:pPr>
            <w:r>
              <w:rPr>
                <w:rFonts w:cs="Calibri"/>
                <w:color w:val="000000"/>
                <w:sz w:val="24"/>
                <w:szCs w:val="24"/>
              </w:rPr>
              <w:t>13,433.50</w:t>
            </w:r>
          </w:p>
        </w:tc>
        <w:tc>
          <w:tcPr>
            <w:tcW w:w="1530" w:type="dxa"/>
            <w:tcBorders>
              <w:top w:val="single" w:sz="4" w:space="0" w:color="000000"/>
              <w:left w:val="single" w:sz="4" w:space="0" w:color="000000"/>
              <w:bottom w:val="single" w:sz="4" w:space="0" w:color="000000"/>
              <w:right w:val="single" w:sz="4" w:space="0" w:color="000000"/>
            </w:tcBorders>
          </w:tcPr>
          <w:p w:rsidR="00B52643" w:rsidRDefault="009C71A6" w:rsidP="00B52643">
            <w:pPr>
              <w:ind w:left="-250"/>
              <w:jc w:val="right"/>
              <w:rPr>
                <w:rFonts w:cs="Calibri"/>
                <w:color w:val="000000"/>
                <w:sz w:val="24"/>
                <w:szCs w:val="24"/>
              </w:rPr>
            </w:pPr>
            <w:r>
              <w:rPr>
                <w:rFonts w:cs="Calibri"/>
                <w:color w:val="000000"/>
                <w:sz w:val="24"/>
                <w:szCs w:val="24"/>
              </w:rPr>
              <w:t>+30.52%</w:t>
            </w:r>
          </w:p>
        </w:tc>
      </w:tr>
      <w:tr w:rsidR="00B52643" w:rsidTr="00B55E02">
        <w:tc>
          <w:tcPr>
            <w:tcW w:w="521" w:type="dxa"/>
            <w:tcBorders>
              <w:top w:val="single" w:sz="4" w:space="0" w:color="000000"/>
              <w:left w:val="single" w:sz="4" w:space="0" w:color="000000"/>
              <w:bottom w:val="single" w:sz="4" w:space="0" w:color="000000"/>
              <w:right w:val="single" w:sz="4" w:space="0" w:color="000000"/>
            </w:tcBorders>
            <w:hideMark/>
          </w:tcPr>
          <w:p w:rsidR="00B52643" w:rsidRDefault="00B52643" w:rsidP="00B52643">
            <w:pPr>
              <w:rPr>
                <w:sz w:val="24"/>
                <w:szCs w:val="24"/>
              </w:rPr>
            </w:pPr>
            <w:r>
              <w:rPr>
                <w:sz w:val="24"/>
                <w:szCs w:val="24"/>
              </w:rPr>
              <w:t>2.</w:t>
            </w:r>
          </w:p>
        </w:tc>
        <w:tc>
          <w:tcPr>
            <w:tcW w:w="2179" w:type="dxa"/>
            <w:tcBorders>
              <w:top w:val="single" w:sz="4" w:space="0" w:color="000000"/>
              <w:left w:val="single" w:sz="4" w:space="0" w:color="000000"/>
              <w:bottom w:val="single" w:sz="4" w:space="0" w:color="000000"/>
              <w:right w:val="single" w:sz="4" w:space="0" w:color="000000"/>
            </w:tcBorders>
            <w:hideMark/>
          </w:tcPr>
          <w:p w:rsidR="00B52643" w:rsidRDefault="00B52643" w:rsidP="00B52643">
            <w:pPr>
              <w:rPr>
                <w:b/>
                <w:sz w:val="24"/>
                <w:szCs w:val="24"/>
              </w:rPr>
            </w:pPr>
            <w:r>
              <w:rPr>
                <w:b/>
                <w:sz w:val="24"/>
                <w:szCs w:val="24"/>
              </w:rPr>
              <w:t>Andhra Bank</w:t>
            </w:r>
          </w:p>
        </w:tc>
        <w:tc>
          <w:tcPr>
            <w:tcW w:w="1620" w:type="dxa"/>
            <w:tcBorders>
              <w:top w:val="single" w:sz="4" w:space="0" w:color="000000"/>
              <w:left w:val="single" w:sz="4" w:space="0" w:color="000000"/>
              <w:bottom w:val="single" w:sz="4" w:space="0" w:color="000000"/>
              <w:right w:val="single" w:sz="4" w:space="0" w:color="000000"/>
            </w:tcBorders>
          </w:tcPr>
          <w:p w:rsidR="00B52643" w:rsidRDefault="00B52643" w:rsidP="00B52643">
            <w:pPr>
              <w:spacing w:after="0" w:line="240" w:lineRule="auto"/>
              <w:jc w:val="right"/>
              <w:rPr>
                <w:sz w:val="24"/>
                <w:szCs w:val="24"/>
              </w:rPr>
            </w:pPr>
            <w:r>
              <w:rPr>
                <w:sz w:val="24"/>
                <w:szCs w:val="24"/>
              </w:rPr>
              <w:t>0 + 1,176</w:t>
            </w:r>
          </w:p>
          <w:p w:rsidR="00B52643" w:rsidRPr="00205D47" w:rsidRDefault="00B52643" w:rsidP="007218FE">
            <w:pPr>
              <w:spacing w:after="120" w:line="240" w:lineRule="auto"/>
              <w:jc w:val="right"/>
              <w:rPr>
                <w:sz w:val="24"/>
                <w:szCs w:val="24"/>
              </w:rPr>
            </w:pPr>
            <w:r>
              <w:rPr>
                <w:sz w:val="24"/>
                <w:szCs w:val="24"/>
              </w:rPr>
              <w:t>=</w:t>
            </w:r>
            <w:r w:rsidRPr="00896FFD">
              <w:rPr>
                <w:b/>
                <w:sz w:val="24"/>
                <w:szCs w:val="24"/>
              </w:rPr>
              <w:t>1,176</w:t>
            </w:r>
          </w:p>
        </w:tc>
        <w:tc>
          <w:tcPr>
            <w:tcW w:w="1620" w:type="dxa"/>
            <w:tcBorders>
              <w:top w:val="single" w:sz="4" w:space="0" w:color="000000"/>
              <w:left w:val="single" w:sz="4" w:space="0" w:color="000000"/>
              <w:bottom w:val="single" w:sz="4" w:space="0" w:color="000000"/>
              <w:right w:val="single" w:sz="4" w:space="0" w:color="000000"/>
            </w:tcBorders>
          </w:tcPr>
          <w:p w:rsidR="00DC1C50" w:rsidRDefault="00B52643" w:rsidP="00DC1C50">
            <w:pPr>
              <w:spacing w:after="0" w:line="240" w:lineRule="auto"/>
              <w:jc w:val="right"/>
              <w:rPr>
                <w:sz w:val="24"/>
                <w:szCs w:val="24"/>
              </w:rPr>
            </w:pPr>
            <w:r>
              <w:rPr>
                <w:sz w:val="24"/>
                <w:szCs w:val="24"/>
              </w:rPr>
              <w:t>0 + 982</w:t>
            </w:r>
          </w:p>
          <w:p w:rsidR="00B52643" w:rsidRDefault="00B52643" w:rsidP="00DC1C50">
            <w:pPr>
              <w:spacing w:after="0" w:line="240" w:lineRule="auto"/>
              <w:jc w:val="right"/>
              <w:rPr>
                <w:b/>
                <w:sz w:val="24"/>
                <w:szCs w:val="24"/>
              </w:rPr>
            </w:pPr>
            <w:r>
              <w:rPr>
                <w:sz w:val="24"/>
                <w:szCs w:val="24"/>
              </w:rPr>
              <w:t>=</w:t>
            </w:r>
            <w:r>
              <w:rPr>
                <w:b/>
                <w:sz w:val="24"/>
                <w:szCs w:val="24"/>
              </w:rPr>
              <w:t>982</w:t>
            </w:r>
          </w:p>
        </w:tc>
        <w:tc>
          <w:tcPr>
            <w:tcW w:w="1620" w:type="dxa"/>
            <w:tcBorders>
              <w:top w:val="single" w:sz="4" w:space="0" w:color="000000"/>
              <w:left w:val="single" w:sz="4" w:space="0" w:color="000000"/>
              <w:bottom w:val="single" w:sz="4" w:space="0" w:color="000000"/>
              <w:right w:val="single" w:sz="4" w:space="0" w:color="000000"/>
            </w:tcBorders>
          </w:tcPr>
          <w:p w:rsidR="00B52643" w:rsidRDefault="00B52643" w:rsidP="00B52643">
            <w:pPr>
              <w:jc w:val="right"/>
              <w:rPr>
                <w:sz w:val="24"/>
                <w:szCs w:val="24"/>
              </w:rPr>
            </w:pPr>
            <w:r>
              <w:rPr>
                <w:sz w:val="24"/>
                <w:szCs w:val="24"/>
              </w:rPr>
              <w:t>-</w:t>
            </w:r>
            <w:r w:rsidR="00F1209A">
              <w:rPr>
                <w:sz w:val="24"/>
                <w:szCs w:val="24"/>
              </w:rPr>
              <w:t>16.50</w:t>
            </w:r>
            <w:r>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B52643" w:rsidRDefault="00B52643" w:rsidP="00B52643">
            <w:pPr>
              <w:spacing w:after="0" w:line="240" w:lineRule="auto"/>
              <w:jc w:val="right"/>
              <w:rPr>
                <w:sz w:val="24"/>
                <w:szCs w:val="24"/>
              </w:rPr>
            </w:pPr>
            <w:r>
              <w:rPr>
                <w:sz w:val="24"/>
                <w:szCs w:val="24"/>
              </w:rPr>
              <w:t>30 + 1,018</w:t>
            </w:r>
          </w:p>
          <w:p w:rsidR="00B52643" w:rsidRPr="00205D47" w:rsidRDefault="00B52643" w:rsidP="00B52643">
            <w:pPr>
              <w:spacing w:after="0" w:line="240" w:lineRule="auto"/>
              <w:jc w:val="right"/>
              <w:rPr>
                <w:sz w:val="24"/>
                <w:szCs w:val="24"/>
              </w:rPr>
            </w:pPr>
            <w:r>
              <w:rPr>
                <w:b/>
                <w:sz w:val="24"/>
                <w:szCs w:val="24"/>
              </w:rPr>
              <w:t>=</w:t>
            </w:r>
            <w:r w:rsidRPr="00502CF0">
              <w:rPr>
                <w:b/>
                <w:sz w:val="24"/>
                <w:szCs w:val="24"/>
              </w:rPr>
              <w:t>1,048</w:t>
            </w:r>
          </w:p>
        </w:tc>
        <w:tc>
          <w:tcPr>
            <w:tcW w:w="1530" w:type="dxa"/>
            <w:tcBorders>
              <w:top w:val="single" w:sz="4" w:space="0" w:color="000000"/>
              <w:left w:val="single" w:sz="4" w:space="0" w:color="000000"/>
              <w:bottom w:val="single" w:sz="4" w:space="0" w:color="000000"/>
              <w:right w:val="single" w:sz="4" w:space="0" w:color="000000"/>
            </w:tcBorders>
          </w:tcPr>
          <w:p w:rsidR="00B52643" w:rsidRDefault="004A240B" w:rsidP="00B52643">
            <w:pPr>
              <w:jc w:val="right"/>
              <w:rPr>
                <w:sz w:val="24"/>
                <w:szCs w:val="24"/>
              </w:rPr>
            </w:pPr>
            <w:r>
              <w:rPr>
                <w:sz w:val="24"/>
                <w:szCs w:val="24"/>
              </w:rPr>
              <w:t>+3.67%</w:t>
            </w:r>
          </w:p>
        </w:tc>
        <w:tc>
          <w:tcPr>
            <w:tcW w:w="1147" w:type="dxa"/>
            <w:tcBorders>
              <w:top w:val="single" w:sz="4" w:space="0" w:color="000000"/>
              <w:left w:val="single" w:sz="4" w:space="0" w:color="000000"/>
              <w:bottom w:val="single" w:sz="4" w:space="0" w:color="000000"/>
              <w:right w:val="single" w:sz="4" w:space="0" w:color="000000"/>
            </w:tcBorders>
          </w:tcPr>
          <w:p w:rsidR="00B52643" w:rsidRDefault="00B52643" w:rsidP="00B52643">
            <w:pPr>
              <w:jc w:val="right"/>
              <w:rPr>
                <w:sz w:val="24"/>
                <w:szCs w:val="24"/>
              </w:rPr>
            </w:pPr>
            <w:r>
              <w:rPr>
                <w:sz w:val="24"/>
                <w:szCs w:val="24"/>
              </w:rPr>
              <w:t>55.1%</w:t>
            </w:r>
          </w:p>
        </w:tc>
        <w:tc>
          <w:tcPr>
            <w:tcW w:w="1237" w:type="dxa"/>
            <w:tcBorders>
              <w:top w:val="single" w:sz="4" w:space="0" w:color="000000"/>
              <w:left w:val="single" w:sz="4" w:space="0" w:color="000000"/>
              <w:bottom w:val="single" w:sz="4" w:space="0" w:color="000000"/>
              <w:right w:val="single" w:sz="4" w:space="0" w:color="000000"/>
            </w:tcBorders>
          </w:tcPr>
          <w:p w:rsidR="00B52643" w:rsidRDefault="00B52643" w:rsidP="00B52643">
            <w:pPr>
              <w:jc w:val="right"/>
              <w:rPr>
                <w:sz w:val="24"/>
                <w:szCs w:val="24"/>
              </w:rPr>
            </w:pPr>
            <w:r>
              <w:rPr>
                <w:sz w:val="24"/>
                <w:szCs w:val="24"/>
              </w:rPr>
              <w:t>56%</w:t>
            </w:r>
          </w:p>
        </w:tc>
        <w:tc>
          <w:tcPr>
            <w:tcW w:w="1350" w:type="dxa"/>
            <w:tcBorders>
              <w:top w:val="single" w:sz="4" w:space="0" w:color="000000"/>
              <w:left w:val="single" w:sz="4" w:space="0" w:color="000000"/>
              <w:bottom w:val="single" w:sz="4" w:space="0" w:color="000000"/>
              <w:right w:val="single" w:sz="4" w:space="0" w:color="000000"/>
            </w:tcBorders>
          </w:tcPr>
          <w:p w:rsidR="00B52643" w:rsidRPr="00205D47" w:rsidRDefault="00B52643" w:rsidP="00B52643">
            <w:pPr>
              <w:spacing w:after="0" w:line="240" w:lineRule="auto"/>
              <w:jc w:val="right"/>
              <w:rPr>
                <w:sz w:val="24"/>
                <w:szCs w:val="24"/>
              </w:rPr>
            </w:pPr>
            <w:r>
              <w:rPr>
                <w:sz w:val="24"/>
                <w:szCs w:val="24"/>
              </w:rPr>
              <w:t>45.9%</w:t>
            </w:r>
          </w:p>
        </w:tc>
        <w:tc>
          <w:tcPr>
            <w:tcW w:w="1170" w:type="dxa"/>
            <w:tcBorders>
              <w:top w:val="single" w:sz="4" w:space="0" w:color="000000"/>
              <w:left w:val="single" w:sz="4" w:space="0" w:color="000000"/>
              <w:bottom w:val="single" w:sz="4" w:space="0" w:color="000000"/>
              <w:right w:val="single" w:sz="4" w:space="0" w:color="000000"/>
            </w:tcBorders>
          </w:tcPr>
          <w:p w:rsidR="00B52643" w:rsidRPr="00F37868" w:rsidRDefault="00F37868" w:rsidP="00B52643">
            <w:pPr>
              <w:jc w:val="right"/>
              <w:rPr>
                <w:sz w:val="24"/>
                <w:szCs w:val="24"/>
              </w:rPr>
            </w:pPr>
            <w:r w:rsidRPr="00F37868">
              <w:rPr>
                <w:sz w:val="24"/>
                <w:szCs w:val="24"/>
              </w:rPr>
              <w:t>3</w:t>
            </w:r>
            <w:r w:rsidR="00CB2242">
              <w:rPr>
                <w:sz w:val="24"/>
                <w:szCs w:val="24"/>
              </w:rPr>
              <w:t>,</w:t>
            </w:r>
            <w:r w:rsidRPr="00F37868">
              <w:rPr>
                <w:sz w:val="24"/>
                <w:szCs w:val="24"/>
              </w:rPr>
              <w:t>025</w:t>
            </w:r>
          </w:p>
        </w:tc>
        <w:tc>
          <w:tcPr>
            <w:tcW w:w="1170" w:type="dxa"/>
            <w:tcBorders>
              <w:top w:val="single" w:sz="4" w:space="0" w:color="000000"/>
              <w:left w:val="single" w:sz="4" w:space="0" w:color="000000"/>
              <w:bottom w:val="single" w:sz="4" w:space="0" w:color="000000"/>
              <w:right w:val="single" w:sz="4" w:space="0" w:color="000000"/>
            </w:tcBorders>
          </w:tcPr>
          <w:p w:rsidR="00B52643" w:rsidRDefault="00F37868" w:rsidP="00B52643">
            <w:pPr>
              <w:ind w:left="-250"/>
              <w:jc w:val="right"/>
              <w:rPr>
                <w:rFonts w:cs="Calibri"/>
                <w:color w:val="000000"/>
                <w:sz w:val="24"/>
                <w:szCs w:val="24"/>
              </w:rPr>
            </w:pPr>
            <w:r>
              <w:rPr>
                <w:rFonts w:cs="Calibri"/>
                <w:color w:val="000000"/>
                <w:sz w:val="24"/>
                <w:szCs w:val="24"/>
              </w:rPr>
              <w:t>0.34</w:t>
            </w:r>
          </w:p>
        </w:tc>
        <w:tc>
          <w:tcPr>
            <w:tcW w:w="1597" w:type="dxa"/>
            <w:tcBorders>
              <w:top w:val="single" w:sz="4" w:space="0" w:color="000000"/>
              <w:left w:val="single" w:sz="4" w:space="0" w:color="000000"/>
              <w:bottom w:val="single" w:sz="4" w:space="0" w:color="000000"/>
              <w:right w:val="single" w:sz="4" w:space="0" w:color="000000"/>
            </w:tcBorders>
          </w:tcPr>
          <w:p w:rsidR="00B52643" w:rsidRDefault="00B52643" w:rsidP="00B52643">
            <w:pPr>
              <w:ind w:left="-250"/>
              <w:jc w:val="right"/>
              <w:rPr>
                <w:rFonts w:cs="Calibri"/>
                <w:color w:val="000000"/>
                <w:sz w:val="24"/>
                <w:szCs w:val="24"/>
              </w:rPr>
            </w:pPr>
            <w:r>
              <w:rPr>
                <w:rFonts w:cs="Calibri"/>
                <w:color w:val="000000"/>
                <w:sz w:val="24"/>
                <w:szCs w:val="24"/>
              </w:rPr>
              <w:t>6,035.70</w:t>
            </w:r>
          </w:p>
        </w:tc>
        <w:tc>
          <w:tcPr>
            <w:tcW w:w="1463" w:type="dxa"/>
            <w:tcBorders>
              <w:top w:val="single" w:sz="4" w:space="0" w:color="000000"/>
              <w:left w:val="single" w:sz="4" w:space="0" w:color="000000"/>
              <w:bottom w:val="single" w:sz="4" w:space="0" w:color="000000"/>
              <w:right w:val="single" w:sz="4" w:space="0" w:color="000000"/>
            </w:tcBorders>
          </w:tcPr>
          <w:p w:rsidR="00B52643" w:rsidRDefault="00CB2242" w:rsidP="00B52643">
            <w:pPr>
              <w:ind w:left="-250"/>
              <w:jc w:val="right"/>
              <w:rPr>
                <w:rFonts w:cs="Calibri"/>
                <w:color w:val="000000"/>
                <w:sz w:val="24"/>
                <w:szCs w:val="24"/>
              </w:rPr>
            </w:pPr>
            <w:r>
              <w:rPr>
                <w:rFonts w:cs="Calibri"/>
                <w:color w:val="000000"/>
                <w:sz w:val="24"/>
                <w:szCs w:val="24"/>
              </w:rPr>
              <w:t>10,354.80</w:t>
            </w:r>
          </w:p>
        </w:tc>
        <w:tc>
          <w:tcPr>
            <w:tcW w:w="1530" w:type="dxa"/>
            <w:tcBorders>
              <w:top w:val="single" w:sz="4" w:space="0" w:color="000000"/>
              <w:left w:val="single" w:sz="4" w:space="0" w:color="000000"/>
              <w:bottom w:val="single" w:sz="4" w:space="0" w:color="000000"/>
              <w:right w:val="single" w:sz="4" w:space="0" w:color="000000"/>
            </w:tcBorders>
          </w:tcPr>
          <w:p w:rsidR="00B52643" w:rsidRDefault="009C71A6" w:rsidP="00B52643">
            <w:pPr>
              <w:ind w:left="-250"/>
              <w:jc w:val="right"/>
              <w:rPr>
                <w:rFonts w:cs="Calibri"/>
                <w:color w:val="000000"/>
                <w:sz w:val="24"/>
                <w:szCs w:val="24"/>
              </w:rPr>
            </w:pPr>
            <w:r>
              <w:rPr>
                <w:rFonts w:cs="Calibri"/>
                <w:color w:val="000000"/>
                <w:sz w:val="24"/>
                <w:szCs w:val="24"/>
              </w:rPr>
              <w:t>+71.56%</w:t>
            </w:r>
          </w:p>
        </w:tc>
      </w:tr>
      <w:tr w:rsidR="00B52643" w:rsidTr="00B55E02">
        <w:tc>
          <w:tcPr>
            <w:tcW w:w="521" w:type="dxa"/>
            <w:tcBorders>
              <w:top w:val="single" w:sz="4" w:space="0" w:color="000000"/>
              <w:left w:val="single" w:sz="4" w:space="0" w:color="000000"/>
              <w:bottom w:val="single" w:sz="4" w:space="0" w:color="000000"/>
              <w:right w:val="single" w:sz="4" w:space="0" w:color="000000"/>
            </w:tcBorders>
            <w:hideMark/>
          </w:tcPr>
          <w:p w:rsidR="00B52643" w:rsidRDefault="00B52643" w:rsidP="00B52643">
            <w:pPr>
              <w:rPr>
                <w:sz w:val="24"/>
                <w:szCs w:val="24"/>
              </w:rPr>
            </w:pPr>
            <w:r>
              <w:rPr>
                <w:sz w:val="24"/>
                <w:szCs w:val="24"/>
              </w:rPr>
              <w:t>3.</w:t>
            </w:r>
          </w:p>
        </w:tc>
        <w:tc>
          <w:tcPr>
            <w:tcW w:w="2179" w:type="dxa"/>
            <w:tcBorders>
              <w:top w:val="single" w:sz="4" w:space="0" w:color="000000"/>
              <w:left w:val="single" w:sz="4" w:space="0" w:color="000000"/>
              <w:bottom w:val="single" w:sz="4" w:space="0" w:color="000000"/>
              <w:right w:val="single" w:sz="4" w:space="0" w:color="000000"/>
            </w:tcBorders>
            <w:hideMark/>
          </w:tcPr>
          <w:p w:rsidR="00B52643" w:rsidRDefault="00B52643" w:rsidP="00B52643">
            <w:pPr>
              <w:rPr>
                <w:b/>
                <w:sz w:val="24"/>
                <w:szCs w:val="24"/>
              </w:rPr>
            </w:pPr>
            <w:r>
              <w:rPr>
                <w:b/>
                <w:sz w:val="24"/>
                <w:szCs w:val="24"/>
              </w:rPr>
              <w:t>Bank of Baroda</w:t>
            </w:r>
          </w:p>
        </w:tc>
        <w:tc>
          <w:tcPr>
            <w:tcW w:w="1620" w:type="dxa"/>
            <w:tcBorders>
              <w:top w:val="single" w:sz="4" w:space="0" w:color="000000"/>
              <w:left w:val="single" w:sz="4" w:space="0" w:color="000000"/>
              <w:bottom w:val="single" w:sz="4" w:space="0" w:color="000000"/>
              <w:right w:val="single" w:sz="4" w:space="0" w:color="000000"/>
            </w:tcBorders>
          </w:tcPr>
          <w:p w:rsidR="00B52643" w:rsidRDefault="00B52643" w:rsidP="00B52643">
            <w:pPr>
              <w:spacing w:after="0" w:line="240" w:lineRule="auto"/>
              <w:jc w:val="right"/>
              <w:rPr>
                <w:sz w:val="24"/>
                <w:szCs w:val="24"/>
              </w:rPr>
            </w:pPr>
            <w:r>
              <w:rPr>
                <w:sz w:val="24"/>
                <w:szCs w:val="24"/>
              </w:rPr>
              <w:t>154 + 4,678</w:t>
            </w:r>
          </w:p>
          <w:p w:rsidR="00B52643" w:rsidRPr="00205D47" w:rsidRDefault="00B52643" w:rsidP="007218FE">
            <w:pPr>
              <w:spacing w:after="120" w:line="240" w:lineRule="auto"/>
              <w:jc w:val="right"/>
              <w:rPr>
                <w:sz w:val="24"/>
                <w:szCs w:val="24"/>
              </w:rPr>
            </w:pPr>
            <w:r>
              <w:rPr>
                <w:sz w:val="24"/>
                <w:szCs w:val="24"/>
              </w:rPr>
              <w:t>=</w:t>
            </w:r>
            <w:r w:rsidRPr="00AB6C67">
              <w:rPr>
                <w:b/>
                <w:sz w:val="24"/>
                <w:szCs w:val="24"/>
              </w:rPr>
              <w:t>4,832</w:t>
            </w:r>
          </w:p>
        </w:tc>
        <w:tc>
          <w:tcPr>
            <w:tcW w:w="1620" w:type="dxa"/>
            <w:tcBorders>
              <w:top w:val="single" w:sz="4" w:space="0" w:color="000000"/>
              <w:left w:val="single" w:sz="4" w:space="0" w:color="000000"/>
              <w:bottom w:val="single" w:sz="4" w:space="0" w:color="000000"/>
              <w:right w:val="single" w:sz="4" w:space="0" w:color="000000"/>
            </w:tcBorders>
          </w:tcPr>
          <w:p w:rsidR="00DC1C50" w:rsidRDefault="00B52643" w:rsidP="00DC1C50">
            <w:pPr>
              <w:spacing w:after="0" w:line="240" w:lineRule="auto"/>
              <w:jc w:val="right"/>
              <w:rPr>
                <w:sz w:val="24"/>
                <w:szCs w:val="24"/>
              </w:rPr>
            </w:pPr>
            <w:r>
              <w:rPr>
                <w:sz w:val="24"/>
                <w:szCs w:val="24"/>
              </w:rPr>
              <w:t>193 + 5,073</w:t>
            </w:r>
          </w:p>
          <w:p w:rsidR="00B52643" w:rsidRDefault="00B52643" w:rsidP="00DC1C50">
            <w:pPr>
              <w:spacing w:after="0" w:line="240" w:lineRule="auto"/>
              <w:jc w:val="right"/>
              <w:rPr>
                <w:sz w:val="24"/>
                <w:szCs w:val="24"/>
              </w:rPr>
            </w:pPr>
            <w:r>
              <w:rPr>
                <w:sz w:val="24"/>
                <w:szCs w:val="24"/>
              </w:rPr>
              <w:t>=</w:t>
            </w:r>
            <w:r>
              <w:rPr>
                <w:b/>
                <w:sz w:val="24"/>
                <w:szCs w:val="24"/>
              </w:rPr>
              <w:t>5,266</w:t>
            </w:r>
          </w:p>
        </w:tc>
        <w:tc>
          <w:tcPr>
            <w:tcW w:w="1620" w:type="dxa"/>
            <w:tcBorders>
              <w:top w:val="single" w:sz="4" w:space="0" w:color="000000"/>
              <w:left w:val="single" w:sz="4" w:space="0" w:color="000000"/>
              <w:bottom w:val="single" w:sz="4" w:space="0" w:color="000000"/>
              <w:right w:val="single" w:sz="4" w:space="0" w:color="000000"/>
            </w:tcBorders>
          </w:tcPr>
          <w:p w:rsidR="00B52643" w:rsidRDefault="00F1209A" w:rsidP="00B52643">
            <w:pPr>
              <w:jc w:val="right"/>
              <w:rPr>
                <w:sz w:val="24"/>
                <w:szCs w:val="24"/>
              </w:rPr>
            </w:pPr>
            <w:r>
              <w:rPr>
                <w:sz w:val="24"/>
                <w:szCs w:val="24"/>
              </w:rPr>
              <w:t>+8.44</w:t>
            </w:r>
            <w:r w:rsidR="00B52643">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B52643" w:rsidRDefault="00B52643" w:rsidP="00B52643">
            <w:pPr>
              <w:spacing w:after="0" w:line="240" w:lineRule="auto"/>
              <w:jc w:val="right"/>
              <w:rPr>
                <w:sz w:val="24"/>
                <w:szCs w:val="24"/>
              </w:rPr>
            </w:pPr>
            <w:r>
              <w:rPr>
                <w:sz w:val="24"/>
                <w:szCs w:val="24"/>
              </w:rPr>
              <w:t>228 + 4,809</w:t>
            </w:r>
          </w:p>
          <w:p w:rsidR="00B52643" w:rsidRPr="007B3C22" w:rsidRDefault="00B52643" w:rsidP="00B52643">
            <w:pPr>
              <w:spacing w:after="0" w:line="240" w:lineRule="auto"/>
              <w:jc w:val="right"/>
              <w:rPr>
                <w:sz w:val="24"/>
                <w:szCs w:val="24"/>
              </w:rPr>
            </w:pPr>
            <w:r>
              <w:rPr>
                <w:sz w:val="24"/>
                <w:szCs w:val="24"/>
              </w:rPr>
              <w:t>=</w:t>
            </w:r>
            <w:r w:rsidRPr="00502CF0">
              <w:rPr>
                <w:b/>
                <w:sz w:val="24"/>
                <w:szCs w:val="24"/>
              </w:rPr>
              <w:t>5,037</w:t>
            </w:r>
          </w:p>
        </w:tc>
        <w:tc>
          <w:tcPr>
            <w:tcW w:w="1530" w:type="dxa"/>
            <w:tcBorders>
              <w:top w:val="single" w:sz="4" w:space="0" w:color="000000"/>
              <w:left w:val="single" w:sz="4" w:space="0" w:color="000000"/>
              <w:bottom w:val="single" w:sz="4" w:space="0" w:color="000000"/>
              <w:right w:val="single" w:sz="4" w:space="0" w:color="000000"/>
            </w:tcBorders>
          </w:tcPr>
          <w:p w:rsidR="00B52643" w:rsidRDefault="004A240B" w:rsidP="00B52643">
            <w:pPr>
              <w:jc w:val="right"/>
              <w:rPr>
                <w:sz w:val="24"/>
                <w:szCs w:val="24"/>
              </w:rPr>
            </w:pPr>
            <w:r>
              <w:rPr>
                <w:sz w:val="24"/>
                <w:szCs w:val="24"/>
              </w:rPr>
              <w:t>-5.20%</w:t>
            </w:r>
          </w:p>
        </w:tc>
        <w:tc>
          <w:tcPr>
            <w:tcW w:w="1147" w:type="dxa"/>
            <w:tcBorders>
              <w:top w:val="single" w:sz="4" w:space="0" w:color="000000"/>
              <w:left w:val="single" w:sz="4" w:space="0" w:color="000000"/>
              <w:bottom w:val="single" w:sz="4" w:space="0" w:color="000000"/>
              <w:right w:val="single" w:sz="4" w:space="0" w:color="000000"/>
            </w:tcBorders>
          </w:tcPr>
          <w:p w:rsidR="00B52643" w:rsidRDefault="00B52643" w:rsidP="00B52643">
            <w:pPr>
              <w:jc w:val="right"/>
              <w:rPr>
                <w:sz w:val="24"/>
                <w:szCs w:val="24"/>
              </w:rPr>
            </w:pPr>
            <w:r>
              <w:rPr>
                <w:sz w:val="24"/>
                <w:szCs w:val="24"/>
              </w:rPr>
              <w:t>32.4%</w:t>
            </w:r>
          </w:p>
        </w:tc>
        <w:tc>
          <w:tcPr>
            <w:tcW w:w="1237" w:type="dxa"/>
            <w:tcBorders>
              <w:top w:val="single" w:sz="4" w:space="0" w:color="000000"/>
              <w:left w:val="single" w:sz="4" w:space="0" w:color="000000"/>
              <w:bottom w:val="single" w:sz="4" w:space="0" w:color="000000"/>
              <w:right w:val="single" w:sz="4" w:space="0" w:color="000000"/>
            </w:tcBorders>
          </w:tcPr>
          <w:p w:rsidR="00B52643" w:rsidRDefault="00B52643" w:rsidP="00B52643">
            <w:pPr>
              <w:jc w:val="right"/>
              <w:rPr>
                <w:sz w:val="24"/>
                <w:szCs w:val="24"/>
              </w:rPr>
            </w:pPr>
            <w:r>
              <w:rPr>
                <w:sz w:val="24"/>
                <w:szCs w:val="24"/>
              </w:rPr>
              <w:t>29.4%</w:t>
            </w:r>
          </w:p>
        </w:tc>
        <w:tc>
          <w:tcPr>
            <w:tcW w:w="1350" w:type="dxa"/>
            <w:tcBorders>
              <w:top w:val="single" w:sz="4" w:space="0" w:color="000000"/>
              <w:left w:val="single" w:sz="4" w:space="0" w:color="000000"/>
              <w:bottom w:val="single" w:sz="4" w:space="0" w:color="000000"/>
              <w:right w:val="single" w:sz="4" w:space="0" w:color="000000"/>
            </w:tcBorders>
          </w:tcPr>
          <w:p w:rsidR="00B52643" w:rsidRPr="00205D47" w:rsidRDefault="00B52643" w:rsidP="00B52643">
            <w:pPr>
              <w:spacing w:after="0" w:line="240" w:lineRule="auto"/>
              <w:jc w:val="right"/>
              <w:rPr>
                <w:sz w:val="24"/>
                <w:szCs w:val="24"/>
              </w:rPr>
            </w:pPr>
            <w:r>
              <w:rPr>
                <w:sz w:val="24"/>
                <w:szCs w:val="24"/>
              </w:rPr>
              <w:t>34.6%</w:t>
            </w:r>
          </w:p>
        </w:tc>
        <w:tc>
          <w:tcPr>
            <w:tcW w:w="1170" w:type="dxa"/>
            <w:tcBorders>
              <w:top w:val="single" w:sz="4" w:space="0" w:color="000000"/>
              <w:left w:val="single" w:sz="4" w:space="0" w:color="000000"/>
              <w:bottom w:val="single" w:sz="4" w:space="0" w:color="000000"/>
              <w:right w:val="single" w:sz="4" w:space="0" w:color="000000"/>
            </w:tcBorders>
          </w:tcPr>
          <w:p w:rsidR="00B52643" w:rsidRDefault="00F37868" w:rsidP="00B52643">
            <w:pPr>
              <w:jc w:val="right"/>
              <w:rPr>
                <w:sz w:val="24"/>
                <w:szCs w:val="24"/>
              </w:rPr>
            </w:pPr>
            <w:r>
              <w:rPr>
                <w:sz w:val="24"/>
                <w:szCs w:val="24"/>
              </w:rPr>
              <w:t>5</w:t>
            </w:r>
            <w:r w:rsidR="00CB2242">
              <w:rPr>
                <w:sz w:val="24"/>
                <w:szCs w:val="24"/>
              </w:rPr>
              <w:t>,</w:t>
            </w:r>
            <w:r>
              <w:rPr>
                <w:sz w:val="24"/>
                <w:szCs w:val="24"/>
              </w:rPr>
              <w:t>582</w:t>
            </w:r>
          </w:p>
        </w:tc>
        <w:tc>
          <w:tcPr>
            <w:tcW w:w="1170" w:type="dxa"/>
            <w:tcBorders>
              <w:top w:val="single" w:sz="4" w:space="0" w:color="000000"/>
              <w:left w:val="single" w:sz="4" w:space="0" w:color="000000"/>
              <w:bottom w:val="single" w:sz="4" w:space="0" w:color="000000"/>
              <w:right w:val="single" w:sz="4" w:space="0" w:color="000000"/>
            </w:tcBorders>
          </w:tcPr>
          <w:p w:rsidR="00B52643" w:rsidRDefault="00F37868" w:rsidP="00B52643">
            <w:pPr>
              <w:ind w:left="-250"/>
              <w:jc w:val="right"/>
              <w:rPr>
                <w:rFonts w:cs="Calibri"/>
                <w:color w:val="000000"/>
                <w:sz w:val="24"/>
                <w:szCs w:val="24"/>
              </w:rPr>
            </w:pPr>
            <w:r>
              <w:rPr>
                <w:rFonts w:cs="Calibri"/>
                <w:color w:val="000000"/>
                <w:sz w:val="24"/>
                <w:szCs w:val="24"/>
              </w:rPr>
              <w:t>0.86</w:t>
            </w:r>
          </w:p>
        </w:tc>
        <w:tc>
          <w:tcPr>
            <w:tcW w:w="1597" w:type="dxa"/>
            <w:tcBorders>
              <w:top w:val="single" w:sz="4" w:space="0" w:color="000000"/>
              <w:left w:val="single" w:sz="4" w:space="0" w:color="000000"/>
              <w:bottom w:val="single" w:sz="4" w:space="0" w:color="000000"/>
              <w:right w:val="single" w:sz="4" w:space="0" w:color="000000"/>
            </w:tcBorders>
          </w:tcPr>
          <w:p w:rsidR="00B52643" w:rsidRDefault="00B52643" w:rsidP="00B52643">
            <w:pPr>
              <w:ind w:left="-250"/>
              <w:jc w:val="right"/>
              <w:rPr>
                <w:rFonts w:cs="Calibri"/>
                <w:color w:val="000000"/>
                <w:sz w:val="24"/>
                <w:szCs w:val="24"/>
              </w:rPr>
            </w:pPr>
            <w:r>
              <w:rPr>
                <w:rFonts w:cs="Calibri"/>
                <w:color w:val="000000"/>
                <w:sz w:val="24"/>
                <w:szCs w:val="24"/>
              </w:rPr>
              <w:t>19,406.50</w:t>
            </w:r>
          </w:p>
        </w:tc>
        <w:tc>
          <w:tcPr>
            <w:tcW w:w="1463" w:type="dxa"/>
            <w:tcBorders>
              <w:top w:val="single" w:sz="4" w:space="0" w:color="000000"/>
              <w:left w:val="single" w:sz="4" w:space="0" w:color="000000"/>
              <w:bottom w:val="single" w:sz="4" w:space="0" w:color="000000"/>
              <w:right w:val="single" w:sz="4" w:space="0" w:color="000000"/>
            </w:tcBorders>
          </w:tcPr>
          <w:p w:rsidR="00B52643" w:rsidRDefault="00CB2242" w:rsidP="00B52643">
            <w:pPr>
              <w:ind w:left="-250"/>
              <w:jc w:val="right"/>
              <w:rPr>
                <w:rFonts w:cs="Calibri"/>
                <w:color w:val="000000"/>
                <w:sz w:val="24"/>
                <w:szCs w:val="24"/>
              </w:rPr>
            </w:pPr>
            <w:r>
              <w:rPr>
                <w:rFonts w:cs="Calibri"/>
                <w:color w:val="000000"/>
                <w:sz w:val="24"/>
                <w:szCs w:val="24"/>
              </w:rPr>
              <w:t>18,080.00</w:t>
            </w:r>
          </w:p>
        </w:tc>
        <w:tc>
          <w:tcPr>
            <w:tcW w:w="1530" w:type="dxa"/>
            <w:tcBorders>
              <w:top w:val="single" w:sz="4" w:space="0" w:color="000000"/>
              <w:left w:val="single" w:sz="4" w:space="0" w:color="000000"/>
              <w:bottom w:val="single" w:sz="4" w:space="0" w:color="000000"/>
              <w:right w:val="single" w:sz="4" w:space="0" w:color="000000"/>
            </w:tcBorders>
          </w:tcPr>
          <w:p w:rsidR="00B52643" w:rsidRDefault="009C71A6" w:rsidP="00B52643">
            <w:pPr>
              <w:ind w:left="-250"/>
              <w:jc w:val="right"/>
              <w:rPr>
                <w:rFonts w:cs="Calibri"/>
                <w:color w:val="000000"/>
                <w:sz w:val="24"/>
                <w:szCs w:val="24"/>
              </w:rPr>
            </w:pPr>
            <w:r>
              <w:rPr>
                <w:rFonts w:cs="Calibri"/>
                <w:color w:val="000000"/>
                <w:sz w:val="24"/>
                <w:szCs w:val="24"/>
              </w:rPr>
              <w:t>-6.83%</w:t>
            </w:r>
          </w:p>
        </w:tc>
      </w:tr>
      <w:tr w:rsidR="00B52643" w:rsidTr="00B55E02">
        <w:tc>
          <w:tcPr>
            <w:tcW w:w="521" w:type="dxa"/>
            <w:tcBorders>
              <w:top w:val="single" w:sz="4" w:space="0" w:color="000000"/>
              <w:left w:val="single" w:sz="4" w:space="0" w:color="000000"/>
              <w:bottom w:val="single" w:sz="4" w:space="0" w:color="000000"/>
              <w:right w:val="single" w:sz="4" w:space="0" w:color="000000"/>
            </w:tcBorders>
            <w:hideMark/>
          </w:tcPr>
          <w:p w:rsidR="00B52643" w:rsidRDefault="00B52643" w:rsidP="00B52643">
            <w:pPr>
              <w:rPr>
                <w:sz w:val="24"/>
                <w:szCs w:val="24"/>
              </w:rPr>
            </w:pPr>
            <w:r>
              <w:rPr>
                <w:sz w:val="24"/>
                <w:szCs w:val="24"/>
              </w:rPr>
              <w:t>4.</w:t>
            </w:r>
          </w:p>
        </w:tc>
        <w:tc>
          <w:tcPr>
            <w:tcW w:w="2179" w:type="dxa"/>
            <w:tcBorders>
              <w:top w:val="single" w:sz="4" w:space="0" w:color="000000"/>
              <w:left w:val="single" w:sz="4" w:space="0" w:color="000000"/>
              <w:bottom w:val="single" w:sz="4" w:space="0" w:color="000000"/>
              <w:right w:val="single" w:sz="4" w:space="0" w:color="000000"/>
            </w:tcBorders>
            <w:hideMark/>
          </w:tcPr>
          <w:p w:rsidR="00B52643" w:rsidRDefault="00B52643" w:rsidP="00B52643">
            <w:pPr>
              <w:rPr>
                <w:b/>
                <w:sz w:val="24"/>
                <w:szCs w:val="24"/>
              </w:rPr>
            </w:pPr>
            <w:r>
              <w:rPr>
                <w:b/>
                <w:sz w:val="24"/>
                <w:szCs w:val="24"/>
              </w:rPr>
              <w:t>Bank of India</w:t>
            </w:r>
          </w:p>
        </w:tc>
        <w:tc>
          <w:tcPr>
            <w:tcW w:w="1620" w:type="dxa"/>
            <w:tcBorders>
              <w:top w:val="single" w:sz="4" w:space="0" w:color="000000"/>
              <w:left w:val="single" w:sz="4" w:space="0" w:color="000000"/>
              <w:bottom w:val="single" w:sz="4" w:space="0" w:color="000000"/>
              <w:right w:val="single" w:sz="4" w:space="0" w:color="000000"/>
            </w:tcBorders>
          </w:tcPr>
          <w:p w:rsidR="00B52643" w:rsidRPr="00205D47" w:rsidRDefault="00B52643" w:rsidP="00615570">
            <w:pPr>
              <w:spacing w:after="0" w:line="240" w:lineRule="auto"/>
              <w:jc w:val="right"/>
              <w:rPr>
                <w:sz w:val="24"/>
                <w:szCs w:val="24"/>
              </w:rPr>
            </w:pPr>
            <w:r>
              <w:rPr>
                <w:sz w:val="24"/>
                <w:szCs w:val="24"/>
              </w:rPr>
              <w:t>6,510 + 2,570 =</w:t>
            </w:r>
            <w:r w:rsidRPr="00895E14">
              <w:rPr>
                <w:b/>
                <w:sz w:val="24"/>
                <w:szCs w:val="24"/>
              </w:rPr>
              <w:t>9,080</w:t>
            </w:r>
          </w:p>
        </w:tc>
        <w:tc>
          <w:tcPr>
            <w:tcW w:w="1620" w:type="dxa"/>
            <w:tcBorders>
              <w:top w:val="single" w:sz="4" w:space="0" w:color="000000"/>
              <w:left w:val="single" w:sz="4" w:space="0" w:color="000000"/>
              <w:bottom w:val="single" w:sz="4" w:space="0" w:color="000000"/>
              <w:right w:val="single" w:sz="4" w:space="0" w:color="000000"/>
            </w:tcBorders>
          </w:tcPr>
          <w:p w:rsidR="00DC1C50" w:rsidRDefault="00B52643" w:rsidP="00DC1C50">
            <w:pPr>
              <w:spacing w:after="0" w:line="240" w:lineRule="auto"/>
              <w:jc w:val="right"/>
              <w:rPr>
                <w:sz w:val="24"/>
                <w:szCs w:val="24"/>
              </w:rPr>
            </w:pPr>
            <w:r>
              <w:rPr>
                <w:sz w:val="24"/>
                <w:szCs w:val="24"/>
              </w:rPr>
              <w:t>6,653 + 3,925</w:t>
            </w:r>
          </w:p>
          <w:p w:rsidR="00B52643" w:rsidRDefault="00B52643" w:rsidP="00DC1C50">
            <w:pPr>
              <w:spacing w:after="0" w:line="240" w:lineRule="auto"/>
              <w:jc w:val="right"/>
              <w:rPr>
                <w:sz w:val="24"/>
                <w:szCs w:val="24"/>
              </w:rPr>
            </w:pPr>
            <w:r>
              <w:rPr>
                <w:sz w:val="24"/>
                <w:szCs w:val="24"/>
              </w:rPr>
              <w:t>=</w:t>
            </w:r>
            <w:r>
              <w:rPr>
                <w:b/>
                <w:sz w:val="24"/>
                <w:szCs w:val="24"/>
              </w:rPr>
              <w:t>10,578</w:t>
            </w:r>
          </w:p>
        </w:tc>
        <w:tc>
          <w:tcPr>
            <w:tcW w:w="1620" w:type="dxa"/>
            <w:tcBorders>
              <w:top w:val="single" w:sz="4" w:space="0" w:color="000000"/>
              <w:left w:val="single" w:sz="4" w:space="0" w:color="000000"/>
              <w:bottom w:val="single" w:sz="4" w:space="0" w:color="000000"/>
              <w:right w:val="single" w:sz="4" w:space="0" w:color="000000"/>
            </w:tcBorders>
          </w:tcPr>
          <w:p w:rsidR="00B52643" w:rsidRDefault="00F1209A" w:rsidP="00B52643">
            <w:pPr>
              <w:jc w:val="right"/>
              <w:rPr>
                <w:sz w:val="24"/>
                <w:szCs w:val="24"/>
              </w:rPr>
            </w:pPr>
            <w:r>
              <w:rPr>
                <w:sz w:val="24"/>
                <w:szCs w:val="24"/>
              </w:rPr>
              <w:t>+52.72</w:t>
            </w:r>
            <w:r w:rsidR="00B52643">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B52643" w:rsidRDefault="00B52643" w:rsidP="00B52643">
            <w:pPr>
              <w:spacing w:after="0" w:line="240" w:lineRule="auto"/>
              <w:jc w:val="right"/>
              <w:rPr>
                <w:sz w:val="24"/>
                <w:szCs w:val="24"/>
              </w:rPr>
            </w:pPr>
            <w:r>
              <w:rPr>
                <w:sz w:val="24"/>
                <w:szCs w:val="24"/>
              </w:rPr>
              <w:t>0 + 4,295</w:t>
            </w:r>
          </w:p>
          <w:p w:rsidR="00B52643" w:rsidRPr="007B3C22" w:rsidRDefault="00B52643" w:rsidP="00B52643">
            <w:pPr>
              <w:spacing w:after="0" w:line="240" w:lineRule="auto"/>
              <w:jc w:val="right"/>
              <w:rPr>
                <w:sz w:val="24"/>
                <w:szCs w:val="24"/>
              </w:rPr>
            </w:pPr>
            <w:r>
              <w:rPr>
                <w:sz w:val="24"/>
                <w:szCs w:val="24"/>
              </w:rPr>
              <w:t>=</w:t>
            </w:r>
            <w:r w:rsidRPr="00502CF0">
              <w:rPr>
                <w:b/>
                <w:sz w:val="24"/>
                <w:szCs w:val="24"/>
              </w:rPr>
              <w:t>4,295</w:t>
            </w:r>
          </w:p>
        </w:tc>
        <w:tc>
          <w:tcPr>
            <w:tcW w:w="1530" w:type="dxa"/>
            <w:tcBorders>
              <w:top w:val="single" w:sz="4" w:space="0" w:color="000000"/>
              <w:left w:val="single" w:sz="4" w:space="0" w:color="000000"/>
              <w:bottom w:val="single" w:sz="4" w:space="0" w:color="000000"/>
              <w:right w:val="single" w:sz="4" w:space="0" w:color="000000"/>
            </w:tcBorders>
          </w:tcPr>
          <w:p w:rsidR="00B52643" w:rsidRDefault="004A240B" w:rsidP="00B52643">
            <w:pPr>
              <w:jc w:val="right"/>
              <w:rPr>
                <w:sz w:val="24"/>
                <w:szCs w:val="24"/>
              </w:rPr>
            </w:pPr>
            <w:r>
              <w:rPr>
                <w:sz w:val="24"/>
                <w:szCs w:val="24"/>
              </w:rPr>
              <w:t>+9.43%</w:t>
            </w:r>
          </w:p>
        </w:tc>
        <w:tc>
          <w:tcPr>
            <w:tcW w:w="1147" w:type="dxa"/>
            <w:tcBorders>
              <w:top w:val="single" w:sz="4" w:space="0" w:color="000000"/>
              <w:left w:val="single" w:sz="4" w:space="0" w:color="000000"/>
              <w:bottom w:val="single" w:sz="4" w:space="0" w:color="000000"/>
              <w:right w:val="single" w:sz="4" w:space="0" w:color="000000"/>
            </w:tcBorders>
          </w:tcPr>
          <w:p w:rsidR="00B52643" w:rsidRDefault="00B52643" w:rsidP="00B52643">
            <w:pPr>
              <w:jc w:val="right"/>
              <w:rPr>
                <w:sz w:val="24"/>
                <w:szCs w:val="24"/>
              </w:rPr>
            </w:pPr>
            <w:r>
              <w:rPr>
                <w:sz w:val="24"/>
                <w:szCs w:val="24"/>
              </w:rPr>
              <w:t>28.8%</w:t>
            </w:r>
          </w:p>
        </w:tc>
        <w:tc>
          <w:tcPr>
            <w:tcW w:w="1237" w:type="dxa"/>
            <w:tcBorders>
              <w:top w:val="single" w:sz="4" w:space="0" w:color="000000"/>
              <w:left w:val="single" w:sz="4" w:space="0" w:color="000000"/>
              <w:bottom w:val="single" w:sz="4" w:space="0" w:color="000000"/>
              <w:right w:val="single" w:sz="4" w:space="0" w:color="000000"/>
            </w:tcBorders>
          </w:tcPr>
          <w:p w:rsidR="00B52643" w:rsidRDefault="00B52643" w:rsidP="00B52643">
            <w:pPr>
              <w:jc w:val="right"/>
              <w:rPr>
                <w:sz w:val="24"/>
                <w:szCs w:val="24"/>
              </w:rPr>
            </w:pPr>
            <w:r>
              <w:rPr>
                <w:sz w:val="24"/>
                <w:szCs w:val="24"/>
              </w:rPr>
              <w:t>27.4%</w:t>
            </w:r>
          </w:p>
        </w:tc>
        <w:tc>
          <w:tcPr>
            <w:tcW w:w="1350" w:type="dxa"/>
            <w:tcBorders>
              <w:top w:val="single" w:sz="4" w:space="0" w:color="000000"/>
              <w:left w:val="single" w:sz="4" w:space="0" w:color="000000"/>
              <w:bottom w:val="single" w:sz="4" w:space="0" w:color="000000"/>
              <w:right w:val="single" w:sz="4" w:space="0" w:color="000000"/>
            </w:tcBorders>
          </w:tcPr>
          <w:p w:rsidR="00B52643" w:rsidRPr="00205D47" w:rsidRDefault="00B52643" w:rsidP="00B52643">
            <w:pPr>
              <w:spacing w:after="0" w:line="240" w:lineRule="auto"/>
              <w:jc w:val="right"/>
              <w:rPr>
                <w:sz w:val="24"/>
                <w:szCs w:val="24"/>
              </w:rPr>
            </w:pPr>
            <w:r>
              <w:rPr>
                <w:sz w:val="24"/>
                <w:szCs w:val="24"/>
              </w:rPr>
              <w:t>23.5%</w:t>
            </w:r>
          </w:p>
        </w:tc>
        <w:tc>
          <w:tcPr>
            <w:tcW w:w="1170" w:type="dxa"/>
            <w:tcBorders>
              <w:top w:val="single" w:sz="4" w:space="0" w:color="000000"/>
              <w:left w:val="single" w:sz="4" w:space="0" w:color="000000"/>
              <w:bottom w:val="single" w:sz="4" w:space="0" w:color="000000"/>
              <w:right w:val="single" w:sz="4" w:space="0" w:color="000000"/>
            </w:tcBorders>
          </w:tcPr>
          <w:p w:rsidR="00B52643" w:rsidRDefault="00F37868" w:rsidP="00B52643">
            <w:pPr>
              <w:jc w:val="right"/>
              <w:rPr>
                <w:sz w:val="24"/>
                <w:szCs w:val="24"/>
              </w:rPr>
            </w:pPr>
            <w:r>
              <w:rPr>
                <w:sz w:val="24"/>
                <w:szCs w:val="24"/>
              </w:rPr>
              <w:t>5</w:t>
            </w:r>
            <w:r w:rsidR="00CB2242">
              <w:rPr>
                <w:sz w:val="24"/>
                <w:szCs w:val="24"/>
              </w:rPr>
              <w:t>,</w:t>
            </w:r>
            <w:r>
              <w:rPr>
                <w:sz w:val="24"/>
                <w:szCs w:val="24"/>
              </w:rPr>
              <w:t>269</w:t>
            </w:r>
          </w:p>
        </w:tc>
        <w:tc>
          <w:tcPr>
            <w:tcW w:w="1170" w:type="dxa"/>
            <w:tcBorders>
              <w:top w:val="single" w:sz="4" w:space="0" w:color="000000"/>
              <w:left w:val="single" w:sz="4" w:space="0" w:color="000000"/>
              <w:bottom w:val="single" w:sz="4" w:space="0" w:color="000000"/>
              <w:right w:val="single" w:sz="4" w:space="0" w:color="000000"/>
            </w:tcBorders>
          </w:tcPr>
          <w:p w:rsidR="00B52643" w:rsidRDefault="00F37868" w:rsidP="00B52643">
            <w:pPr>
              <w:ind w:left="-250"/>
              <w:jc w:val="right"/>
              <w:rPr>
                <w:rFonts w:cs="Calibri"/>
                <w:color w:val="000000"/>
                <w:sz w:val="24"/>
                <w:szCs w:val="24"/>
              </w:rPr>
            </w:pPr>
            <w:r>
              <w:rPr>
                <w:rFonts w:cs="Calibri"/>
                <w:color w:val="000000"/>
                <w:sz w:val="24"/>
                <w:szCs w:val="24"/>
              </w:rPr>
              <w:t>0.82</w:t>
            </w:r>
          </w:p>
        </w:tc>
        <w:tc>
          <w:tcPr>
            <w:tcW w:w="1597" w:type="dxa"/>
            <w:tcBorders>
              <w:top w:val="single" w:sz="4" w:space="0" w:color="000000"/>
              <w:left w:val="single" w:sz="4" w:space="0" w:color="000000"/>
              <w:bottom w:val="single" w:sz="4" w:space="0" w:color="000000"/>
              <w:right w:val="single" w:sz="4" w:space="0" w:color="000000"/>
            </w:tcBorders>
          </w:tcPr>
          <w:p w:rsidR="00B52643" w:rsidRDefault="00B52643" w:rsidP="00B52643">
            <w:pPr>
              <w:ind w:left="-250"/>
              <w:jc w:val="right"/>
              <w:rPr>
                <w:rFonts w:cs="Calibri"/>
                <w:color w:val="000000"/>
                <w:sz w:val="24"/>
                <w:szCs w:val="24"/>
              </w:rPr>
            </w:pPr>
            <w:r>
              <w:rPr>
                <w:rFonts w:cs="Calibri"/>
                <w:color w:val="000000"/>
                <w:sz w:val="24"/>
                <w:szCs w:val="24"/>
              </w:rPr>
              <w:t>27,996.40</w:t>
            </w:r>
          </w:p>
        </w:tc>
        <w:tc>
          <w:tcPr>
            <w:tcW w:w="1463" w:type="dxa"/>
            <w:tcBorders>
              <w:top w:val="single" w:sz="4" w:space="0" w:color="000000"/>
              <w:left w:val="single" w:sz="4" w:space="0" w:color="000000"/>
              <w:bottom w:val="single" w:sz="4" w:space="0" w:color="000000"/>
              <w:right w:val="single" w:sz="4" w:space="0" w:color="000000"/>
            </w:tcBorders>
          </w:tcPr>
          <w:p w:rsidR="00B52643" w:rsidRDefault="00CB2242" w:rsidP="00B52643">
            <w:pPr>
              <w:ind w:left="-250"/>
              <w:jc w:val="right"/>
              <w:rPr>
                <w:rFonts w:cs="Calibri"/>
                <w:color w:val="000000"/>
                <w:sz w:val="24"/>
                <w:szCs w:val="24"/>
              </w:rPr>
            </w:pPr>
            <w:r>
              <w:rPr>
                <w:rFonts w:cs="Calibri"/>
                <w:color w:val="000000"/>
                <w:sz w:val="24"/>
                <w:szCs w:val="24"/>
              </w:rPr>
              <w:t>25,305.00</w:t>
            </w:r>
          </w:p>
        </w:tc>
        <w:tc>
          <w:tcPr>
            <w:tcW w:w="1530" w:type="dxa"/>
            <w:tcBorders>
              <w:top w:val="single" w:sz="4" w:space="0" w:color="000000"/>
              <w:left w:val="single" w:sz="4" w:space="0" w:color="000000"/>
              <w:bottom w:val="single" w:sz="4" w:space="0" w:color="000000"/>
              <w:right w:val="single" w:sz="4" w:space="0" w:color="000000"/>
            </w:tcBorders>
          </w:tcPr>
          <w:p w:rsidR="00B52643" w:rsidRDefault="009C71A6" w:rsidP="00B52643">
            <w:pPr>
              <w:ind w:left="-250"/>
              <w:jc w:val="right"/>
              <w:rPr>
                <w:rFonts w:cs="Calibri"/>
                <w:color w:val="000000"/>
                <w:sz w:val="24"/>
                <w:szCs w:val="24"/>
              </w:rPr>
            </w:pPr>
            <w:r>
              <w:rPr>
                <w:rFonts w:cs="Calibri"/>
                <w:color w:val="000000"/>
                <w:sz w:val="24"/>
                <w:szCs w:val="24"/>
              </w:rPr>
              <w:t>-9.61%</w:t>
            </w:r>
          </w:p>
        </w:tc>
      </w:tr>
      <w:tr w:rsidR="00B52643" w:rsidTr="00B55E02">
        <w:tc>
          <w:tcPr>
            <w:tcW w:w="521" w:type="dxa"/>
            <w:tcBorders>
              <w:top w:val="single" w:sz="4" w:space="0" w:color="000000"/>
              <w:left w:val="single" w:sz="4" w:space="0" w:color="000000"/>
              <w:bottom w:val="single" w:sz="4" w:space="0" w:color="000000"/>
              <w:right w:val="single" w:sz="4" w:space="0" w:color="000000"/>
            </w:tcBorders>
            <w:hideMark/>
          </w:tcPr>
          <w:p w:rsidR="00B52643" w:rsidRDefault="00B52643" w:rsidP="00B52643">
            <w:pPr>
              <w:rPr>
                <w:sz w:val="24"/>
                <w:szCs w:val="24"/>
              </w:rPr>
            </w:pPr>
            <w:r>
              <w:rPr>
                <w:sz w:val="24"/>
                <w:szCs w:val="24"/>
              </w:rPr>
              <w:t>5.</w:t>
            </w:r>
          </w:p>
        </w:tc>
        <w:tc>
          <w:tcPr>
            <w:tcW w:w="2179" w:type="dxa"/>
            <w:tcBorders>
              <w:top w:val="single" w:sz="4" w:space="0" w:color="000000"/>
              <w:left w:val="single" w:sz="4" w:space="0" w:color="000000"/>
              <w:bottom w:val="single" w:sz="4" w:space="0" w:color="000000"/>
              <w:right w:val="single" w:sz="4" w:space="0" w:color="000000"/>
            </w:tcBorders>
            <w:hideMark/>
          </w:tcPr>
          <w:p w:rsidR="00B52643" w:rsidRDefault="00B52643" w:rsidP="007218FE">
            <w:pPr>
              <w:spacing w:after="120" w:line="240" w:lineRule="auto"/>
              <w:rPr>
                <w:b/>
                <w:sz w:val="24"/>
                <w:szCs w:val="24"/>
              </w:rPr>
            </w:pPr>
            <w:r>
              <w:rPr>
                <w:b/>
                <w:sz w:val="24"/>
                <w:szCs w:val="24"/>
              </w:rPr>
              <w:t>Bank of Maharashtra</w:t>
            </w:r>
          </w:p>
        </w:tc>
        <w:tc>
          <w:tcPr>
            <w:tcW w:w="1620" w:type="dxa"/>
            <w:tcBorders>
              <w:top w:val="single" w:sz="4" w:space="0" w:color="000000"/>
              <w:left w:val="single" w:sz="4" w:space="0" w:color="000000"/>
              <w:bottom w:val="single" w:sz="4" w:space="0" w:color="000000"/>
              <w:right w:val="single" w:sz="4" w:space="0" w:color="000000"/>
            </w:tcBorders>
          </w:tcPr>
          <w:p w:rsidR="00B52643" w:rsidRDefault="00B52643" w:rsidP="00B52643">
            <w:pPr>
              <w:spacing w:after="0" w:line="240" w:lineRule="auto"/>
              <w:jc w:val="right"/>
              <w:rPr>
                <w:sz w:val="24"/>
                <w:szCs w:val="24"/>
              </w:rPr>
            </w:pPr>
            <w:r>
              <w:rPr>
                <w:sz w:val="24"/>
                <w:szCs w:val="24"/>
              </w:rPr>
              <w:t>38 + 961</w:t>
            </w:r>
          </w:p>
          <w:p w:rsidR="00B52643" w:rsidRPr="00205D47" w:rsidRDefault="00B52643" w:rsidP="00B52643">
            <w:pPr>
              <w:spacing w:after="0" w:line="240" w:lineRule="auto"/>
              <w:jc w:val="right"/>
              <w:rPr>
                <w:sz w:val="24"/>
                <w:szCs w:val="24"/>
              </w:rPr>
            </w:pPr>
            <w:r>
              <w:rPr>
                <w:sz w:val="24"/>
                <w:szCs w:val="24"/>
              </w:rPr>
              <w:t>=</w:t>
            </w:r>
            <w:r w:rsidRPr="001C1ABC">
              <w:rPr>
                <w:b/>
                <w:sz w:val="24"/>
                <w:szCs w:val="24"/>
              </w:rPr>
              <w:t>999</w:t>
            </w:r>
          </w:p>
        </w:tc>
        <w:tc>
          <w:tcPr>
            <w:tcW w:w="1620" w:type="dxa"/>
            <w:tcBorders>
              <w:top w:val="single" w:sz="4" w:space="0" w:color="000000"/>
              <w:left w:val="single" w:sz="4" w:space="0" w:color="000000"/>
              <w:bottom w:val="single" w:sz="4" w:space="0" w:color="000000"/>
              <w:right w:val="single" w:sz="4" w:space="0" w:color="000000"/>
            </w:tcBorders>
          </w:tcPr>
          <w:p w:rsidR="00DC1C50" w:rsidRDefault="00B52643" w:rsidP="00DC1C50">
            <w:pPr>
              <w:spacing w:after="0" w:line="240" w:lineRule="auto"/>
              <w:jc w:val="right"/>
              <w:rPr>
                <w:sz w:val="24"/>
                <w:szCs w:val="24"/>
              </w:rPr>
            </w:pPr>
            <w:r>
              <w:rPr>
                <w:sz w:val="24"/>
                <w:szCs w:val="24"/>
              </w:rPr>
              <w:t>20 + 1,352</w:t>
            </w:r>
          </w:p>
          <w:p w:rsidR="00B52643" w:rsidRDefault="00B52643" w:rsidP="00DC1C50">
            <w:pPr>
              <w:spacing w:after="0" w:line="240" w:lineRule="auto"/>
              <w:jc w:val="right"/>
              <w:rPr>
                <w:sz w:val="24"/>
                <w:szCs w:val="24"/>
              </w:rPr>
            </w:pPr>
            <w:r>
              <w:rPr>
                <w:sz w:val="24"/>
                <w:szCs w:val="24"/>
              </w:rPr>
              <w:t>=</w:t>
            </w:r>
            <w:r>
              <w:rPr>
                <w:b/>
                <w:sz w:val="24"/>
                <w:szCs w:val="24"/>
              </w:rPr>
              <w:t>1,372</w:t>
            </w:r>
          </w:p>
        </w:tc>
        <w:tc>
          <w:tcPr>
            <w:tcW w:w="1620" w:type="dxa"/>
            <w:tcBorders>
              <w:top w:val="single" w:sz="4" w:space="0" w:color="000000"/>
              <w:left w:val="single" w:sz="4" w:space="0" w:color="000000"/>
              <w:bottom w:val="single" w:sz="4" w:space="0" w:color="000000"/>
              <w:right w:val="single" w:sz="4" w:space="0" w:color="000000"/>
            </w:tcBorders>
          </w:tcPr>
          <w:p w:rsidR="00B52643" w:rsidRDefault="00F1209A" w:rsidP="00B52643">
            <w:pPr>
              <w:jc w:val="right"/>
              <w:rPr>
                <w:sz w:val="24"/>
                <w:szCs w:val="24"/>
              </w:rPr>
            </w:pPr>
            <w:r>
              <w:rPr>
                <w:sz w:val="24"/>
                <w:szCs w:val="24"/>
              </w:rPr>
              <w:t>+40.86</w:t>
            </w:r>
            <w:r w:rsidR="00B52643">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B52643" w:rsidRDefault="00B52643" w:rsidP="00B52643">
            <w:pPr>
              <w:spacing w:after="0" w:line="240" w:lineRule="auto"/>
              <w:jc w:val="right"/>
              <w:rPr>
                <w:sz w:val="24"/>
                <w:szCs w:val="24"/>
              </w:rPr>
            </w:pPr>
            <w:r>
              <w:rPr>
                <w:sz w:val="24"/>
                <w:szCs w:val="24"/>
              </w:rPr>
              <w:t>40 + 1,406</w:t>
            </w:r>
          </w:p>
          <w:p w:rsidR="00B52643" w:rsidRPr="007B3C22" w:rsidRDefault="00B52643" w:rsidP="00B52643">
            <w:pPr>
              <w:spacing w:after="0" w:line="240" w:lineRule="auto"/>
              <w:jc w:val="right"/>
              <w:rPr>
                <w:sz w:val="24"/>
                <w:szCs w:val="24"/>
              </w:rPr>
            </w:pPr>
            <w:r>
              <w:rPr>
                <w:sz w:val="24"/>
                <w:szCs w:val="24"/>
              </w:rPr>
              <w:t>=</w:t>
            </w:r>
            <w:r w:rsidRPr="00502CF0">
              <w:rPr>
                <w:b/>
                <w:sz w:val="24"/>
                <w:szCs w:val="24"/>
              </w:rPr>
              <w:t>1,446</w:t>
            </w:r>
          </w:p>
        </w:tc>
        <w:tc>
          <w:tcPr>
            <w:tcW w:w="1530" w:type="dxa"/>
            <w:tcBorders>
              <w:top w:val="single" w:sz="4" w:space="0" w:color="000000"/>
              <w:left w:val="single" w:sz="4" w:space="0" w:color="000000"/>
              <w:bottom w:val="single" w:sz="4" w:space="0" w:color="000000"/>
              <w:right w:val="single" w:sz="4" w:space="0" w:color="000000"/>
            </w:tcBorders>
          </w:tcPr>
          <w:p w:rsidR="00B52643" w:rsidRDefault="004A240B" w:rsidP="00B52643">
            <w:pPr>
              <w:jc w:val="right"/>
              <w:rPr>
                <w:sz w:val="24"/>
                <w:szCs w:val="24"/>
              </w:rPr>
            </w:pPr>
            <w:r>
              <w:rPr>
                <w:sz w:val="24"/>
                <w:szCs w:val="24"/>
              </w:rPr>
              <w:t>+3.99%</w:t>
            </w:r>
          </w:p>
        </w:tc>
        <w:tc>
          <w:tcPr>
            <w:tcW w:w="1147" w:type="dxa"/>
            <w:tcBorders>
              <w:top w:val="single" w:sz="4" w:space="0" w:color="000000"/>
              <w:left w:val="single" w:sz="4" w:space="0" w:color="000000"/>
              <w:bottom w:val="single" w:sz="4" w:space="0" w:color="000000"/>
              <w:right w:val="single" w:sz="4" w:space="0" w:color="000000"/>
            </w:tcBorders>
          </w:tcPr>
          <w:p w:rsidR="00B52643" w:rsidRDefault="00B52643" w:rsidP="00B52643">
            <w:pPr>
              <w:jc w:val="right"/>
              <w:rPr>
                <w:sz w:val="24"/>
                <w:szCs w:val="24"/>
              </w:rPr>
            </w:pPr>
            <w:r>
              <w:rPr>
                <w:sz w:val="24"/>
                <w:szCs w:val="24"/>
              </w:rPr>
              <w:t>43.7%</w:t>
            </w:r>
          </w:p>
        </w:tc>
        <w:tc>
          <w:tcPr>
            <w:tcW w:w="1237" w:type="dxa"/>
            <w:tcBorders>
              <w:top w:val="single" w:sz="4" w:space="0" w:color="000000"/>
              <w:left w:val="single" w:sz="4" w:space="0" w:color="000000"/>
              <w:bottom w:val="single" w:sz="4" w:space="0" w:color="000000"/>
              <w:right w:val="single" w:sz="4" w:space="0" w:color="000000"/>
            </w:tcBorders>
          </w:tcPr>
          <w:p w:rsidR="00B52643" w:rsidRDefault="00B52643" w:rsidP="00B52643">
            <w:pPr>
              <w:jc w:val="right"/>
              <w:rPr>
                <w:sz w:val="24"/>
                <w:szCs w:val="24"/>
              </w:rPr>
            </w:pPr>
            <w:r>
              <w:rPr>
                <w:sz w:val="24"/>
                <w:szCs w:val="24"/>
              </w:rPr>
              <w:t>38.5%</w:t>
            </w:r>
          </w:p>
        </w:tc>
        <w:tc>
          <w:tcPr>
            <w:tcW w:w="1350" w:type="dxa"/>
            <w:tcBorders>
              <w:top w:val="single" w:sz="4" w:space="0" w:color="000000"/>
              <w:left w:val="single" w:sz="4" w:space="0" w:color="000000"/>
              <w:bottom w:val="single" w:sz="4" w:space="0" w:color="000000"/>
              <w:right w:val="single" w:sz="4" w:space="0" w:color="000000"/>
            </w:tcBorders>
          </w:tcPr>
          <w:p w:rsidR="00B52643" w:rsidRPr="00205D47" w:rsidRDefault="00B52643" w:rsidP="00B52643">
            <w:pPr>
              <w:spacing w:after="0" w:line="240" w:lineRule="auto"/>
              <w:jc w:val="right"/>
              <w:rPr>
                <w:sz w:val="24"/>
                <w:szCs w:val="24"/>
              </w:rPr>
            </w:pPr>
            <w:r>
              <w:rPr>
                <w:sz w:val="24"/>
                <w:szCs w:val="24"/>
              </w:rPr>
              <w:t>34%</w:t>
            </w:r>
          </w:p>
        </w:tc>
        <w:tc>
          <w:tcPr>
            <w:tcW w:w="1170" w:type="dxa"/>
            <w:tcBorders>
              <w:top w:val="single" w:sz="4" w:space="0" w:color="000000"/>
              <w:left w:val="single" w:sz="4" w:space="0" w:color="000000"/>
              <w:bottom w:val="single" w:sz="4" w:space="0" w:color="000000"/>
              <w:right w:val="single" w:sz="4" w:space="0" w:color="000000"/>
            </w:tcBorders>
          </w:tcPr>
          <w:p w:rsidR="00B52643" w:rsidRDefault="00F37868" w:rsidP="00B52643">
            <w:pPr>
              <w:jc w:val="right"/>
              <w:rPr>
                <w:sz w:val="24"/>
                <w:szCs w:val="24"/>
              </w:rPr>
            </w:pPr>
            <w:r>
              <w:rPr>
                <w:sz w:val="24"/>
                <w:szCs w:val="24"/>
              </w:rPr>
              <w:t>1</w:t>
            </w:r>
            <w:r w:rsidR="00CB2242">
              <w:rPr>
                <w:sz w:val="24"/>
                <w:szCs w:val="24"/>
              </w:rPr>
              <w:t>,</w:t>
            </w:r>
            <w:r>
              <w:rPr>
                <w:sz w:val="24"/>
                <w:szCs w:val="24"/>
              </w:rPr>
              <w:t>978</w:t>
            </w:r>
          </w:p>
        </w:tc>
        <w:tc>
          <w:tcPr>
            <w:tcW w:w="1170" w:type="dxa"/>
            <w:tcBorders>
              <w:top w:val="single" w:sz="4" w:space="0" w:color="000000"/>
              <w:left w:val="single" w:sz="4" w:space="0" w:color="000000"/>
              <w:bottom w:val="single" w:sz="4" w:space="0" w:color="000000"/>
              <w:right w:val="single" w:sz="4" w:space="0" w:color="000000"/>
            </w:tcBorders>
          </w:tcPr>
          <w:p w:rsidR="00B52643" w:rsidRDefault="00F37868" w:rsidP="00B52643">
            <w:pPr>
              <w:ind w:left="-250"/>
              <w:jc w:val="right"/>
              <w:rPr>
                <w:rFonts w:cs="Calibri"/>
                <w:color w:val="000000"/>
                <w:sz w:val="24"/>
                <w:szCs w:val="24"/>
              </w:rPr>
            </w:pPr>
            <w:r>
              <w:rPr>
                <w:rFonts w:cs="Calibri"/>
                <w:color w:val="000000"/>
                <w:sz w:val="24"/>
                <w:szCs w:val="24"/>
              </w:rPr>
              <w:t>0.71</w:t>
            </w:r>
          </w:p>
        </w:tc>
        <w:tc>
          <w:tcPr>
            <w:tcW w:w="1597" w:type="dxa"/>
            <w:tcBorders>
              <w:top w:val="single" w:sz="4" w:space="0" w:color="000000"/>
              <w:left w:val="single" w:sz="4" w:space="0" w:color="000000"/>
              <w:bottom w:val="single" w:sz="4" w:space="0" w:color="000000"/>
              <w:right w:val="single" w:sz="4" w:space="0" w:color="000000"/>
            </w:tcBorders>
          </w:tcPr>
          <w:p w:rsidR="00B52643" w:rsidRDefault="00CB2242" w:rsidP="00CB2242">
            <w:pPr>
              <w:ind w:left="-250"/>
              <w:jc w:val="right"/>
              <w:rPr>
                <w:rFonts w:cs="Calibri"/>
                <w:color w:val="000000"/>
                <w:sz w:val="24"/>
                <w:szCs w:val="24"/>
              </w:rPr>
            </w:pPr>
            <w:r>
              <w:rPr>
                <w:rFonts w:cs="Calibri"/>
                <w:color w:val="000000"/>
                <w:sz w:val="24"/>
                <w:szCs w:val="24"/>
              </w:rPr>
              <w:t>6,919.3</w:t>
            </w:r>
            <w:r w:rsidR="00B52643">
              <w:rPr>
                <w:rFonts w:cs="Calibri"/>
                <w:color w:val="000000"/>
                <w:sz w:val="24"/>
                <w:szCs w:val="24"/>
              </w:rPr>
              <w:t>0</w:t>
            </w:r>
          </w:p>
        </w:tc>
        <w:tc>
          <w:tcPr>
            <w:tcW w:w="1463" w:type="dxa"/>
            <w:tcBorders>
              <w:top w:val="single" w:sz="4" w:space="0" w:color="000000"/>
              <w:left w:val="single" w:sz="4" w:space="0" w:color="000000"/>
              <w:bottom w:val="single" w:sz="4" w:space="0" w:color="000000"/>
              <w:right w:val="single" w:sz="4" w:space="0" w:color="000000"/>
            </w:tcBorders>
          </w:tcPr>
          <w:p w:rsidR="00B52643" w:rsidRDefault="00CB2242" w:rsidP="00B52643">
            <w:pPr>
              <w:ind w:left="-250"/>
              <w:jc w:val="right"/>
              <w:rPr>
                <w:rFonts w:cs="Calibri"/>
                <w:color w:val="000000"/>
                <w:sz w:val="24"/>
                <w:szCs w:val="24"/>
              </w:rPr>
            </w:pPr>
            <w:r>
              <w:rPr>
                <w:rFonts w:cs="Calibri"/>
                <w:color w:val="000000"/>
                <w:sz w:val="24"/>
                <w:szCs w:val="24"/>
              </w:rPr>
              <w:t>11,229.60</w:t>
            </w:r>
          </w:p>
        </w:tc>
        <w:tc>
          <w:tcPr>
            <w:tcW w:w="1530" w:type="dxa"/>
            <w:tcBorders>
              <w:top w:val="single" w:sz="4" w:space="0" w:color="000000"/>
              <w:left w:val="single" w:sz="4" w:space="0" w:color="000000"/>
              <w:bottom w:val="single" w:sz="4" w:space="0" w:color="000000"/>
              <w:right w:val="single" w:sz="4" w:space="0" w:color="000000"/>
            </w:tcBorders>
          </w:tcPr>
          <w:p w:rsidR="00B52643" w:rsidRDefault="009C71A6" w:rsidP="00B52643">
            <w:pPr>
              <w:ind w:left="-250"/>
              <w:jc w:val="right"/>
              <w:rPr>
                <w:rFonts w:cs="Calibri"/>
                <w:color w:val="000000"/>
                <w:sz w:val="24"/>
                <w:szCs w:val="24"/>
              </w:rPr>
            </w:pPr>
            <w:r>
              <w:rPr>
                <w:rFonts w:cs="Calibri"/>
                <w:color w:val="000000"/>
                <w:sz w:val="24"/>
                <w:szCs w:val="24"/>
              </w:rPr>
              <w:t>+62.29%</w:t>
            </w:r>
          </w:p>
        </w:tc>
      </w:tr>
      <w:tr w:rsidR="00B52643" w:rsidTr="00B55E02">
        <w:tc>
          <w:tcPr>
            <w:tcW w:w="521" w:type="dxa"/>
            <w:tcBorders>
              <w:top w:val="single" w:sz="4" w:space="0" w:color="000000"/>
              <w:left w:val="single" w:sz="4" w:space="0" w:color="000000"/>
              <w:bottom w:val="single" w:sz="4" w:space="0" w:color="000000"/>
              <w:right w:val="single" w:sz="4" w:space="0" w:color="000000"/>
            </w:tcBorders>
            <w:hideMark/>
          </w:tcPr>
          <w:p w:rsidR="00B52643" w:rsidRDefault="00B52643" w:rsidP="00B52643">
            <w:pPr>
              <w:rPr>
                <w:sz w:val="24"/>
                <w:szCs w:val="24"/>
              </w:rPr>
            </w:pPr>
            <w:r>
              <w:rPr>
                <w:sz w:val="24"/>
                <w:szCs w:val="24"/>
              </w:rPr>
              <w:t>6.</w:t>
            </w:r>
          </w:p>
        </w:tc>
        <w:tc>
          <w:tcPr>
            <w:tcW w:w="2179" w:type="dxa"/>
            <w:tcBorders>
              <w:top w:val="single" w:sz="4" w:space="0" w:color="000000"/>
              <w:left w:val="single" w:sz="4" w:space="0" w:color="000000"/>
              <w:bottom w:val="single" w:sz="4" w:space="0" w:color="000000"/>
              <w:right w:val="single" w:sz="4" w:space="0" w:color="000000"/>
            </w:tcBorders>
            <w:hideMark/>
          </w:tcPr>
          <w:p w:rsidR="00B52643" w:rsidRDefault="00B52643" w:rsidP="00B52643">
            <w:pPr>
              <w:rPr>
                <w:b/>
                <w:sz w:val="24"/>
                <w:szCs w:val="24"/>
              </w:rPr>
            </w:pPr>
            <w:r>
              <w:rPr>
                <w:b/>
                <w:sz w:val="24"/>
                <w:szCs w:val="24"/>
              </w:rPr>
              <w:t>Canara Bank</w:t>
            </w:r>
          </w:p>
        </w:tc>
        <w:tc>
          <w:tcPr>
            <w:tcW w:w="1620" w:type="dxa"/>
            <w:tcBorders>
              <w:top w:val="single" w:sz="4" w:space="0" w:color="000000"/>
              <w:left w:val="single" w:sz="4" w:space="0" w:color="000000"/>
              <w:bottom w:val="single" w:sz="4" w:space="0" w:color="000000"/>
              <w:right w:val="single" w:sz="4" w:space="0" w:color="000000"/>
            </w:tcBorders>
          </w:tcPr>
          <w:p w:rsidR="00B52643" w:rsidRDefault="00B52643" w:rsidP="00B52643">
            <w:pPr>
              <w:spacing w:after="0" w:line="240" w:lineRule="auto"/>
              <w:jc w:val="right"/>
              <w:rPr>
                <w:sz w:val="24"/>
                <w:szCs w:val="24"/>
              </w:rPr>
            </w:pPr>
            <w:r>
              <w:rPr>
                <w:sz w:val="24"/>
                <w:szCs w:val="24"/>
              </w:rPr>
              <w:t>92 + 2,827</w:t>
            </w:r>
          </w:p>
          <w:p w:rsidR="00B52643" w:rsidRPr="00205D47" w:rsidRDefault="00B52643" w:rsidP="007218FE">
            <w:pPr>
              <w:spacing w:after="120" w:line="240" w:lineRule="auto"/>
              <w:jc w:val="right"/>
              <w:rPr>
                <w:sz w:val="24"/>
                <w:szCs w:val="24"/>
              </w:rPr>
            </w:pPr>
            <w:r>
              <w:rPr>
                <w:sz w:val="24"/>
                <w:szCs w:val="24"/>
              </w:rPr>
              <w:t>=</w:t>
            </w:r>
            <w:r w:rsidRPr="00C15DDA">
              <w:rPr>
                <w:b/>
                <w:sz w:val="24"/>
                <w:szCs w:val="24"/>
              </w:rPr>
              <w:t>2,919</w:t>
            </w:r>
          </w:p>
        </w:tc>
        <w:tc>
          <w:tcPr>
            <w:tcW w:w="1620" w:type="dxa"/>
            <w:tcBorders>
              <w:top w:val="single" w:sz="4" w:space="0" w:color="000000"/>
              <w:left w:val="single" w:sz="4" w:space="0" w:color="000000"/>
              <w:bottom w:val="single" w:sz="4" w:space="0" w:color="000000"/>
              <w:right w:val="single" w:sz="4" w:space="0" w:color="000000"/>
            </w:tcBorders>
          </w:tcPr>
          <w:p w:rsidR="00DC1C50" w:rsidRDefault="00B52643" w:rsidP="00DC1C50">
            <w:pPr>
              <w:spacing w:after="0" w:line="240" w:lineRule="auto"/>
              <w:jc w:val="right"/>
              <w:rPr>
                <w:sz w:val="24"/>
                <w:szCs w:val="24"/>
              </w:rPr>
            </w:pPr>
            <w:r>
              <w:rPr>
                <w:sz w:val="24"/>
                <w:szCs w:val="24"/>
              </w:rPr>
              <w:t>60 + 2,869</w:t>
            </w:r>
          </w:p>
          <w:p w:rsidR="00B52643" w:rsidRDefault="00B52643" w:rsidP="00DC1C50">
            <w:pPr>
              <w:spacing w:after="0" w:line="240" w:lineRule="auto"/>
              <w:jc w:val="right"/>
              <w:rPr>
                <w:sz w:val="24"/>
                <w:szCs w:val="24"/>
              </w:rPr>
            </w:pPr>
            <w:r>
              <w:rPr>
                <w:sz w:val="24"/>
                <w:szCs w:val="24"/>
              </w:rPr>
              <w:t>=</w:t>
            </w:r>
            <w:r>
              <w:rPr>
                <w:b/>
                <w:sz w:val="24"/>
                <w:szCs w:val="24"/>
              </w:rPr>
              <w:t>2,929</w:t>
            </w:r>
          </w:p>
        </w:tc>
        <w:tc>
          <w:tcPr>
            <w:tcW w:w="1620" w:type="dxa"/>
            <w:tcBorders>
              <w:top w:val="single" w:sz="4" w:space="0" w:color="000000"/>
              <w:left w:val="single" w:sz="4" w:space="0" w:color="000000"/>
              <w:bottom w:val="single" w:sz="4" w:space="0" w:color="000000"/>
              <w:right w:val="single" w:sz="4" w:space="0" w:color="000000"/>
            </w:tcBorders>
          </w:tcPr>
          <w:p w:rsidR="00B52643" w:rsidRDefault="00F1209A" w:rsidP="00F1209A">
            <w:pPr>
              <w:jc w:val="right"/>
              <w:rPr>
                <w:sz w:val="24"/>
                <w:szCs w:val="24"/>
              </w:rPr>
            </w:pPr>
            <w:r>
              <w:rPr>
                <w:sz w:val="24"/>
                <w:szCs w:val="24"/>
              </w:rPr>
              <w:t>+1.50</w:t>
            </w:r>
            <w:r w:rsidR="00B52643">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B52643" w:rsidRDefault="00B52643" w:rsidP="00B52643">
            <w:pPr>
              <w:spacing w:after="0" w:line="240" w:lineRule="auto"/>
              <w:jc w:val="right"/>
              <w:rPr>
                <w:sz w:val="24"/>
                <w:szCs w:val="24"/>
              </w:rPr>
            </w:pPr>
            <w:r>
              <w:rPr>
                <w:sz w:val="24"/>
                <w:szCs w:val="24"/>
              </w:rPr>
              <w:t>85 + 3,918</w:t>
            </w:r>
          </w:p>
          <w:p w:rsidR="00B52643" w:rsidRPr="007B3C22" w:rsidRDefault="00B52643" w:rsidP="00B52643">
            <w:pPr>
              <w:spacing w:after="0" w:line="240" w:lineRule="auto"/>
              <w:jc w:val="right"/>
              <w:rPr>
                <w:sz w:val="24"/>
                <w:szCs w:val="24"/>
              </w:rPr>
            </w:pPr>
            <w:r>
              <w:rPr>
                <w:sz w:val="24"/>
                <w:szCs w:val="24"/>
              </w:rPr>
              <w:t>=</w:t>
            </w:r>
            <w:r w:rsidRPr="00502CF0">
              <w:rPr>
                <w:b/>
                <w:sz w:val="24"/>
                <w:szCs w:val="24"/>
              </w:rPr>
              <w:t>4,003</w:t>
            </w:r>
          </w:p>
        </w:tc>
        <w:tc>
          <w:tcPr>
            <w:tcW w:w="1530" w:type="dxa"/>
            <w:tcBorders>
              <w:top w:val="single" w:sz="4" w:space="0" w:color="000000"/>
              <w:left w:val="single" w:sz="4" w:space="0" w:color="000000"/>
              <w:bottom w:val="single" w:sz="4" w:space="0" w:color="000000"/>
              <w:right w:val="single" w:sz="4" w:space="0" w:color="000000"/>
            </w:tcBorders>
          </w:tcPr>
          <w:p w:rsidR="00B52643" w:rsidRDefault="004A240B" w:rsidP="00B52643">
            <w:pPr>
              <w:jc w:val="right"/>
              <w:rPr>
                <w:sz w:val="24"/>
                <w:szCs w:val="24"/>
              </w:rPr>
            </w:pPr>
            <w:r>
              <w:rPr>
                <w:sz w:val="24"/>
                <w:szCs w:val="24"/>
              </w:rPr>
              <w:t>+36.56%</w:t>
            </w:r>
          </w:p>
        </w:tc>
        <w:tc>
          <w:tcPr>
            <w:tcW w:w="1147" w:type="dxa"/>
            <w:tcBorders>
              <w:top w:val="single" w:sz="4" w:space="0" w:color="000000"/>
              <w:left w:val="single" w:sz="4" w:space="0" w:color="000000"/>
              <w:bottom w:val="single" w:sz="4" w:space="0" w:color="000000"/>
              <w:right w:val="single" w:sz="4" w:space="0" w:color="000000"/>
            </w:tcBorders>
          </w:tcPr>
          <w:p w:rsidR="00B52643" w:rsidRDefault="00B52643" w:rsidP="00B52643">
            <w:pPr>
              <w:jc w:val="right"/>
              <w:rPr>
                <w:sz w:val="24"/>
                <w:szCs w:val="24"/>
              </w:rPr>
            </w:pPr>
            <w:r>
              <w:rPr>
                <w:sz w:val="24"/>
                <w:szCs w:val="24"/>
              </w:rPr>
              <w:t>49.1%</w:t>
            </w:r>
          </w:p>
        </w:tc>
        <w:tc>
          <w:tcPr>
            <w:tcW w:w="1237" w:type="dxa"/>
            <w:tcBorders>
              <w:top w:val="single" w:sz="4" w:space="0" w:color="000000"/>
              <w:left w:val="single" w:sz="4" w:space="0" w:color="000000"/>
              <w:bottom w:val="single" w:sz="4" w:space="0" w:color="000000"/>
              <w:right w:val="single" w:sz="4" w:space="0" w:color="000000"/>
            </w:tcBorders>
          </w:tcPr>
          <w:p w:rsidR="00B52643" w:rsidRDefault="00B52643" w:rsidP="00B52643">
            <w:pPr>
              <w:jc w:val="right"/>
              <w:rPr>
                <w:sz w:val="24"/>
                <w:szCs w:val="24"/>
              </w:rPr>
            </w:pPr>
            <w:r>
              <w:rPr>
                <w:sz w:val="24"/>
                <w:szCs w:val="24"/>
              </w:rPr>
              <w:t>48.1%</w:t>
            </w:r>
          </w:p>
        </w:tc>
        <w:tc>
          <w:tcPr>
            <w:tcW w:w="1350" w:type="dxa"/>
            <w:tcBorders>
              <w:top w:val="single" w:sz="4" w:space="0" w:color="000000"/>
              <w:left w:val="single" w:sz="4" w:space="0" w:color="000000"/>
              <w:bottom w:val="single" w:sz="4" w:space="0" w:color="000000"/>
              <w:right w:val="single" w:sz="4" w:space="0" w:color="000000"/>
            </w:tcBorders>
          </w:tcPr>
          <w:p w:rsidR="00B52643" w:rsidRPr="00205D47" w:rsidRDefault="00B52643" w:rsidP="00B52643">
            <w:pPr>
              <w:spacing w:after="0" w:line="240" w:lineRule="auto"/>
              <w:jc w:val="right"/>
              <w:rPr>
                <w:sz w:val="24"/>
                <w:szCs w:val="24"/>
              </w:rPr>
            </w:pPr>
            <w:r>
              <w:rPr>
                <w:sz w:val="24"/>
                <w:szCs w:val="24"/>
              </w:rPr>
              <w:t>40.5%</w:t>
            </w:r>
          </w:p>
        </w:tc>
        <w:tc>
          <w:tcPr>
            <w:tcW w:w="1170" w:type="dxa"/>
            <w:tcBorders>
              <w:top w:val="single" w:sz="4" w:space="0" w:color="000000"/>
              <w:left w:val="single" w:sz="4" w:space="0" w:color="000000"/>
              <w:bottom w:val="single" w:sz="4" w:space="0" w:color="000000"/>
              <w:right w:val="single" w:sz="4" w:space="0" w:color="000000"/>
            </w:tcBorders>
          </w:tcPr>
          <w:p w:rsidR="00B52643" w:rsidRDefault="00F37868" w:rsidP="00B52643">
            <w:pPr>
              <w:jc w:val="right"/>
              <w:rPr>
                <w:sz w:val="24"/>
                <w:szCs w:val="24"/>
              </w:rPr>
            </w:pPr>
            <w:r>
              <w:rPr>
                <w:sz w:val="24"/>
                <w:szCs w:val="24"/>
              </w:rPr>
              <w:t>6</w:t>
            </w:r>
            <w:r w:rsidR="00CB2242">
              <w:rPr>
                <w:sz w:val="24"/>
                <w:szCs w:val="24"/>
              </w:rPr>
              <w:t>,</w:t>
            </w:r>
            <w:r>
              <w:rPr>
                <w:sz w:val="24"/>
                <w:szCs w:val="24"/>
              </w:rPr>
              <w:t>274</w:t>
            </w:r>
          </w:p>
        </w:tc>
        <w:tc>
          <w:tcPr>
            <w:tcW w:w="1170" w:type="dxa"/>
            <w:tcBorders>
              <w:top w:val="single" w:sz="4" w:space="0" w:color="000000"/>
              <w:left w:val="single" w:sz="4" w:space="0" w:color="000000"/>
              <w:bottom w:val="single" w:sz="4" w:space="0" w:color="000000"/>
              <w:right w:val="single" w:sz="4" w:space="0" w:color="000000"/>
            </w:tcBorders>
          </w:tcPr>
          <w:p w:rsidR="00B52643" w:rsidRDefault="00F37868" w:rsidP="00B52643">
            <w:pPr>
              <w:ind w:left="-250"/>
              <w:jc w:val="right"/>
              <w:rPr>
                <w:rFonts w:cs="Calibri"/>
                <w:color w:val="000000"/>
                <w:sz w:val="24"/>
                <w:szCs w:val="24"/>
              </w:rPr>
            </w:pPr>
            <w:r>
              <w:rPr>
                <w:rFonts w:cs="Calibri"/>
                <w:color w:val="000000"/>
                <w:sz w:val="24"/>
                <w:szCs w:val="24"/>
              </w:rPr>
              <w:t>0.62</w:t>
            </w:r>
          </w:p>
        </w:tc>
        <w:tc>
          <w:tcPr>
            <w:tcW w:w="1597" w:type="dxa"/>
            <w:tcBorders>
              <w:top w:val="single" w:sz="4" w:space="0" w:color="000000"/>
              <w:left w:val="single" w:sz="4" w:space="0" w:color="000000"/>
              <w:bottom w:val="single" w:sz="4" w:space="0" w:color="000000"/>
              <w:right w:val="single" w:sz="4" w:space="0" w:color="000000"/>
            </w:tcBorders>
          </w:tcPr>
          <w:p w:rsidR="00B52643" w:rsidRDefault="00B52643" w:rsidP="00B52643">
            <w:pPr>
              <w:ind w:left="-250"/>
              <w:jc w:val="right"/>
              <w:rPr>
                <w:rFonts w:cs="Calibri"/>
                <w:color w:val="000000"/>
                <w:sz w:val="24"/>
                <w:szCs w:val="24"/>
              </w:rPr>
            </w:pPr>
            <w:r>
              <w:rPr>
                <w:rFonts w:cs="Calibri"/>
                <w:color w:val="000000"/>
                <w:sz w:val="24"/>
                <w:szCs w:val="24"/>
              </w:rPr>
              <w:t>20,832.90</w:t>
            </w:r>
          </w:p>
        </w:tc>
        <w:tc>
          <w:tcPr>
            <w:tcW w:w="1463" w:type="dxa"/>
            <w:tcBorders>
              <w:top w:val="single" w:sz="4" w:space="0" w:color="000000"/>
              <w:left w:val="single" w:sz="4" w:space="0" w:color="000000"/>
              <w:bottom w:val="single" w:sz="4" w:space="0" w:color="000000"/>
              <w:right w:val="single" w:sz="4" w:space="0" w:color="000000"/>
            </w:tcBorders>
          </w:tcPr>
          <w:p w:rsidR="00B52643" w:rsidRDefault="00CB2242" w:rsidP="00B52643">
            <w:pPr>
              <w:ind w:left="-250"/>
              <w:jc w:val="right"/>
              <w:rPr>
                <w:rFonts w:cs="Calibri"/>
                <w:color w:val="000000"/>
                <w:sz w:val="24"/>
                <w:szCs w:val="24"/>
              </w:rPr>
            </w:pPr>
            <w:r>
              <w:rPr>
                <w:rFonts w:cs="Calibri"/>
                <w:color w:val="000000"/>
                <w:sz w:val="24"/>
                <w:szCs w:val="24"/>
              </w:rPr>
              <w:t>21,64.90</w:t>
            </w:r>
          </w:p>
        </w:tc>
        <w:tc>
          <w:tcPr>
            <w:tcW w:w="1530" w:type="dxa"/>
            <w:tcBorders>
              <w:top w:val="single" w:sz="4" w:space="0" w:color="000000"/>
              <w:left w:val="single" w:sz="4" w:space="0" w:color="000000"/>
              <w:bottom w:val="single" w:sz="4" w:space="0" w:color="000000"/>
              <w:right w:val="single" w:sz="4" w:space="0" w:color="000000"/>
            </w:tcBorders>
          </w:tcPr>
          <w:p w:rsidR="00B52643" w:rsidRDefault="009C71A6" w:rsidP="00B52643">
            <w:pPr>
              <w:ind w:left="-250"/>
              <w:jc w:val="right"/>
              <w:rPr>
                <w:rFonts w:cs="Calibri"/>
                <w:color w:val="000000"/>
                <w:sz w:val="24"/>
                <w:szCs w:val="24"/>
              </w:rPr>
            </w:pPr>
            <w:r>
              <w:rPr>
                <w:rFonts w:cs="Calibri"/>
                <w:color w:val="000000"/>
                <w:sz w:val="24"/>
                <w:szCs w:val="24"/>
              </w:rPr>
              <w:t>+3.92%</w:t>
            </w:r>
          </w:p>
        </w:tc>
      </w:tr>
      <w:tr w:rsidR="00B52643" w:rsidTr="00B55E02">
        <w:tc>
          <w:tcPr>
            <w:tcW w:w="521" w:type="dxa"/>
            <w:tcBorders>
              <w:top w:val="single" w:sz="4" w:space="0" w:color="000000"/>
              <w:left w:val="single" w:sz="4" w:space="0" w:color="000000"/>
              <w:bottom w:val="single" w:sz="4" w:space="0" w:color="000000"/>
              <w:right w:val="single" w:sz="4" w:space="0" w:color="000000"/>
            </w:tcBorders>
            <w:hideMark/>
          </w:tcPr>
          <w:p w:rsidR="00B52643" w:rsidRDefault="00B52643" w:rsidP="00B52643">
            <w:pPr>
              <w:rPr>
                <w:sz w:val="24"/>
                <w:szCs w:val="24"/>
              </w:rPr>
            </w:pPr>
            <w:r>
              <w:rPr>
                <w:sz w:val="24"/>
                <w:szCs w:val="24"/>
              </w:rPr>
              <w:t>7.</w:t>
            </w:r>
          </w:p>
        </w:tc>
        <w:tc>
          <w:tcPr>
            <w:tcW w:w="2179" w:type="dxa"/>
            <w:tcBorders>
              <w:top w:val="single" w:sz="4" w:space="0" w:color="000000"/>
              <w:left w:val="single" w:sz="4" w:space="0" w:color="000000"/>
              <w:bottom w:val="single" w:sz="4" w:space="0" w:color="000000"/>
              <w:right w:val="single" w:sz="4" w:space="0" w:color="000000"/>
            </w:tcBorders>
            <w:hideMark/>
          </w:tcPr>
          <w:p w:rsidR="00B52643" w:rsidRDefault="00B52643" w:rsidP="00B52643">
            <w:pPr>
              <w:rPr>
                <w:b/>
                <w:sz w:val="24"/>
                <w:szCs w:val="24"/>
              </w:rPr>
            </w:pPr>
            <w:r>
              <w:rPr>
                <w:b/>
                <w:sz w:val="24"/>
                <w:szCs w:val="24"/>
              </w:rPr>
              <w:t>Central Bank of India</w:t>
            </w:r>
          </w:p>
        </w:tc>
        <w:tc>
          <w:tcPr>
            <w:tcW w:w="1620" w:type="dxa"/>
            <w:tcBorders>
              <w:top w:val="single" w:sz="4" w:space="0" w:color="000000"/>
              <w:left w:val="single" w:sz="4" w:space="0" w:color="000000"/>
              <w:bottom w:val="single" w:sz="4" w:space="0" w:color="000000"/>
              <w:right w:val="single" w:sz="4" w:space="0" w:color="000000"/>
            </w:tcBorders>
          </w:tcPr>
          <w:p w:rsidR="00B52643" w:rsidRDefault="00B52643" w:rsidP="00B52643">
            <w:pPr>
              <w:spacing w:after="0" w:line="240" w:lineRule="auto"/>
              <w:jc w:val="right"/>
              <w:rPr>
                <w:sz w:val="24"/>
                <w:szCs w:val="24"/>
              </w:rPr>
            </w:pPr>
            <w:r>
              <w:rPr>
                <w:sz w:val="24"/>
                <w:szCs w:val="24"/>
              </w:rPr>
              <w:t>75 + 3,383</w:t>
            </w:r>
          </w:p>
          <w:p w:rsidR="00B52643" w:rsidRPr="00205D47" w:rsidRDefault="00B52643" w:rsidP="00B52643">
            <w:pPr>
              <w:spacing w:after="0" w:line="240" w:lineRule="auto"/>
              <w:jc w:val="right"/>
              <w:rPr>
                <w:sz w:val="24"/>
                <w:szCs w:val="24"/>
              </w:rPr>
            </w:pPr>
            <w:r>
              <w:rPr>
                <w:sz w:val="24"/>
                <w:szCs w:val="24"/>
              </w:rPr>
              <w:t>=</w:t>
            </w:r>
            <w:r w:rsidRPr="003E02AD">
              <w:rPr>
                <w:b/>
                <w:sz w:val="24"/>
                <w:szCs w:val="24"/>
              </w:rPr>
              <w:t>3,458</w:t>
            </w:r>
          </w:p>
        </w:tc>
        <w:tc>
          <w:tcPr>
            <w:tcW w:w="1620" w:type="dxa"/>
            <w:tcBorders>
              <w:top w:val="single" w:sz="4" w:space="0" w:color="000000"/>
              <w:left w:val="single" w:sz="4" w:space="0" w:color="000000"/>
              <w:bottom w:val="single" w:sz="4" w:space="0" w:color="000000"/>
              <w:right w:val="single" w:sz="4" w:space="0" w:color="000000"/>
            </w:tcBorders>
          </w:tcPr>
          <w:p w:rsidR="00DC1C50" w:rsidRDefault="00B52643" w:rsidP="00DC1C50">
            <w:pPr>
              <w:spacing w:after="0" w:line="240" w:lineRule="auto"/>
              <w:jc w:val="right"/>
              <w:rPr>
                <w:sz w:val="24"/>
                <w:szCs w:val="24"/>
              </w:rPr>
            </w:pPr>
            <w:r>
              <w:rPr>
                <w:sz w:val="24"/>
                <w:szCs w:val="24"/>
              </w:rPr>
              <w:t>20 + 3,219</w:t>
            </w:r>
          </w:p>
          <w:p w:rsidR="00B52643" w:rsidRDefault="00B52643" w:rsidP="00DC1C50">
            <w:pPr>
              <w:spacing w:after="0" w:line="240" w:lineRule="auto"/>
              <w:jc w:val="right"/>
              <w:rPr>
                <w:sz w:val="24"/>
                <w:szCs w:val="24"/>
              </w:rPr>
            </w:pPr>
            <w:r>
              <w:rPr>
                <w:sz w:val="24"/>
                <w:szCs w:val="24"/>
              </w:rPr>
              <w:t>=</w:t>
            </w:r>
            <w:r>
              <w:rPr>
                <w:b/>
                <w:sz w:val="24"/>
                <w:szCs w:val="24"/>
              </w:rPr>
              <w:t>3,239</w:t>
            </w:r>
          </w:p>
        </w:tc>
        <w:tc>
          <w:tcPr>
            <w:tcW w:w="1620" w:type="dxa"/>
            <w:tcBorders>
              <w:top w:val="single" w:sz="4" w:space="0" w:color="000000"/>
              <w:left w:val="single" w:sz="4" w:space="0" w:color="000000"/>
              <w:bottom w:val="single" w:sz="4" w:space="0" w:color="000000"/>
              <w:right w:val="single" w:sz="4" w:space="0" w:color="000000"/>
            </w:tcBorders>
          </w:tcPr>
          <w:p w:rsidR="00B52643" w:rsidRDefault="00F1209A" w:rsidP="00F1209A">
            <w:pPr>
              <w:jc w:val="right"/>
              <w:rPr>
                <w:sz w:val="24"/>
                <w:szCs w:val="24"/>
              </w:rPr>
            </w:pPr>
            <w:r>
              <w:rPr>
                <w:sz w:val="24"/>
                <w:szCs w:val="24"/>
              </w:rPr>
              <w:t>-4.85</w:t>
            </w:r>
            <w:r w:rsidR="00B52643">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B52643" w:rsidRPr="00BB64A9" w:rsidRDefault="00B52643" w:rsidP="00B52643">
            <w:pPr>
              <w:spacing w:after="0" w:line="240" w:lineRule="auto"/>
              <w:jc w:val="right"/>
              <w:rPr>
                <w:color w:val="FF0000"/>
                <w:sz w:val="24"/>
                <w:szCs w:val="24"/>
              </w:rPr>
            </w:pPr>
            <w:r w:rsidRPr="00A37397">
              <w:rPr>
                <w:sz w:val="24"/>
                <w:szCs w:val="24"/>
              </w:rPr>
              <w:t>NA</w:t>
            </w:r>
          </w:p>
        </w:tc>
        <w:tc>
          <w:tcPr>
            <w:tcW w:w="1530" w:type="dxa"/>
            <w:tcBorders>
              <w:top w:val="single" w:sz="4" w:space="0" w:color="000000"/>
              <w:left w:val="single" w:sz="4" w:space="0" w:color="000000"/>
              <w:bottom w:val="single" w:sz="4" w:space="0" w:color="000000"/>
              <w:right w:val="single" w:sz="4" w:space="0" w:color="000000"/>
            </w:tcBorders>
          </w:tcPr>
          <w:p w:rsidR="00B52643" w:rsidRDefault="004A240B" w:rsidP="00B52643">
            <w:pPr>
              <w:jc w:val="right"/>
              <w:rPr>
                <w:sz w:val="24"/>
                <w:szCs w:val="24"/>
              </w:rPr>
            </w:pPr>
            <w:r>
              <w:rPr>
                <w:sz w:val="24"/>
                <w:szCs w:val="24"/>
              </w:rPr>
              <w:t>NA</w:t>
            </w:r>
          </w:p>
        </w:tc>
        <w:tc>
          <w:tcPr>
            <w:tcW w:w="1147" w:type="dxa"/>
            <w:tcBorders>
              <w:top w:val="single" w:sz="4" w:space="0" w:color="000000"/>
              <w:left w:val="single" w:sz="4" w:space="0" w:color="000000"/>
              <w:bottom w:val="single" w:sz="4" w:space="0" w:color="000000"/>
              <w:right w:val="single" w:sz="4" w:space="0" w:color="000000"/>
            </w:tcBorders>
          </w:tcPr>
          <w:p w:rsidR="00B52643" w:rsidRDefault="00B52643" w:rsidP="00B52643">
            <w:pPr>
              <w:jc w:val="right"/>
              <w:rPr>
                <w:sz w:val="24"/>
                <w:szCs w:val="24"/>
              </w:rPr>
            </w:pPr>
            <w:r>
              <w:rPr>
                <w:sz w:val="24"/>
                <w:szCs w:val="24"/>
              </w:rPr>
              <w:t>38%</w:t>
            </w:r>
          </w:p>
        </w:tc>
        <w:tc>
          <w:tcPr>
            <w:tcW w:w="1237" w:type="dxa"/>
            <w:tcBorders>
              <w:top w:val="single" w:sz="4" w:space="0" w:color="000000"/>
              <w:left w:val="single" w:sz="4" w:space="0" w:color="000000"/>
              <w:bottom w:val="single" w:sz="4" w:space="0" w:color="000000"/>
              <w:right w:val="single" w:sz="4" w:space="0" w:color="000000"/>
            </w:tcBorders>
          </w:tcPr>
          <w:p w:rsidR="00B52643" w:rsidRDefault="00B52643" w:rsidP="00B52643">
            <w:pPr>
              <w:jc w:val="right"/>
              <w:rPr>
                <w:sz w:val="24"/>
                <w:szCs w:val="24"/>
              </w:rPr>
            </w:pPr>
            <w:r>
              <w:rPr>
                <w:sz w:val="24"/>
                <w:szCs w:val="24"/>
              </w:rPr>
              <w:t>41.9%</w:t>
            </w:r>
          </w:p>
        </w:tc>
        <w:tc>
          <w:tcPr>
            <w:tcW w:w="1350" w:type="dxa"/>
            <w:tcBorders>
              <w:top w:val="single" w:sz="4" w:space="0" w:color="000000"/>
              <w:left w:val="single" w:sz="4" w:space="0" w:color="000000"/>
              <w:bottom w:val="single" w:sz="4" w:space="0" w:color="000000"/>
              <w:right w:val="single" w:sz="4" w:space="0" w:color="000000"/>
            </w:tcBorders>
          </w:tcPr>
          <w:p w:rsidR="00B52643" w:rsidRPr="00BB64A9" w:rsidRDefault="00B52643" w:rsidP="00B52643">
            <w:pPr>
              <w:spacing w:after="0" w:line="240" w:lineRule="auto"/>
              <w:jc w:val="right"/>
              <w:rPr>
                <w:color w:val="FF0000"/>
                <w:sz w:val="24"/>
                <w:szCs w:val="24"/>
              </w:rPr>
            </w:pPr>
            <w:r w:rsidRPr="00A37397">
              <w:rPr>
                <w:sz w:val="24"/>
                <w:szCs w:val="24"/>
              </w:rPr>
              <w:t>NA</w:t>
            </w:r>
          </w:p>
        </w:tc>
        <w:tc>
          <w:tcPr>
            <w:tcW w:w="1170" w:type="dxa"/>
            <w:tcBorders>
              <w:top w:val="single" w:sz="4" w:space="0" w:color="000000"/>
              <w:left w:val="single" w:sz="4" w:space="0" w:color="000000"/>
              <w:bottom w:val="single" w:sz="4" w:space="0" w:color="000000"/>
              <w:right w:val="single" w:sz="4" w:space="0" w:color="000000"/>
            </w:tcBorders>
          </w:tcPr>
          <w:p w:rsidR="00B52643" w:rsidRDefault="00F37868" w:rsidP="00B52643">
            <w:pPr>
              <w:jc w:val="right"/>
              <w:rPr>
                <w:sz w:val="24"/>
                <w:szCs w:val="24"/>
              </w:rPr>
            </w:pPr>
            <w:r>
              <w:rPr>
                <w:sz w:val="24"/>
                <w:szCs w:val="24"/>
              </w:rPr>
              <w:t>4</w:t>
            </w:r>
            <w:r w:rsidR="00CB2242">
              <w:rPr>
                <w:sz w:val="24"/>
                <w:szCs w:val="24"/>
              </w:rPr>
              <w:t>,</w:t>
            </w:r>
            <w:r>
              <w:rPr>
                <w:sz w:val="24"/>
                <w:szCs w:val="24"/>
              </w:rPr>
              <w:t>840</w:t>
            </w:r>
          </w:p>
        </w:tc>
        <w:tc>
          <w:tcPr>
            <w:tcW w:w="1170" w:type="dxa"/>
            <w:tcBorders>
              <w:top w:val="single" w:sz="4" w:space="0" w:color="000000"/>
              <w:left w:val="single" w:sz="4" w:space="0" w:color="000000"/>
              <w:bottom w:val="single" w:sz="4" w:space="0" w:color="000000"/>
              <w:right w:val="single" w:sz="4" w:space="0" w:color="000000"/>
            </w:tcBorders>
          </w:tcPr>
          <w:p w:rsidR="00B52643" w:rsidRDefault="00F37868" w:rsidP="00B52643">
            <w:pPr>
              <w:ind w:left="-250"/>
              <w:jc w:val="right"/>
              <w:rPr>
                <w:rFonts w:cs="Calibri"/>
                <w:color w:val="000000"/>
                <w:sz w:val="24"/>
                <w:szCs w:val="24"/>
              </w:rPr>
            </w:pPr>
            <w:r>
              <w:rPr>
                <w:rFonts w:cs="Calibri"/>
                <w:color w:val="000000"/>
                <w:sz w:val="24"/>
                <w:szCs w:val="24"/>
              </w:rPr>
              <w:t>NA</w:t>
            </w:r>
          </w:p>
        </w:tc>
        <w:tc>
          <w:tcPr>
            <w:tcW w:w="1597" w:type="dxa"/>
            <w:tcBorders>
              <w:top w:val="single" w:sz="4" w:space="0" w:color="000000"/>
              <w:left w:val="single" w:sz="4" w:space="0" w:color="000000"/>
              <w:bottom w:val="single" w:sz="4" w:space="0" w:color="000000"/>
              <w:right w:val="single" w:sz="4" w:space="0" w:color="000000"/>
            </w:tcBorders>
          </w:tcPr>
          <w:p w:rsidR="00B52643" w:rsidRDefault="00B52643" w:rsidP="00B52643">
            <w:pPr>
              <w:ind w:left="-250"/>
              <w:jc w:val="right"/>
              <w:rPr>
                <w:rFonts w:cs="Calibri"/>
                <w:color w:val="000000"/>
                <w:sz w:val="24"/>
                <w:szCs w:val="24"/>
              </w:rPr>
            </w:pPr>
            <w:r>
              <w:rPr>
                <w:rFonts w:cs="Calibri"/>
                <w:color w:val="000000"/>
                <w:sz w:val="24"/>
                <w:szCs w:val="24"/>
              </w:rPr>
              <w:t>13,242.00</w:t>
            </w:r>
          </w:p>
        </w:tc>
        <w:tc>
          <w:tcPr>
            <w:tcW w:w="1463" w:type="dxa"/>
            <w:tcBorders>
              <w:top w:val="single" w:sz="4" w:space="0" w:color="000000"/>
              <w:left w:val="single" w:sz="4" w:space="0" w:color="000000"/>
              <w:bottom w:val="single" w:sz="4" w:space="0" w:color="000000"/>
              <w:right w:val="single" w:sz="4" w:space="0" w:color="000000"/>
            </w:tcBorders>
          </w:tcPr>
          <w:p w:rsidR="00B52643" w:rsidRDefault="00CB2242" w:rsidP="00B52643">
            <w:pPr>
              <w:ind w:left="-250"/>
              <w:jc w:val="right"/>
              <w:rPr>
                <w:rFonts w:cs="Calibri"/>
                <w:color w:val="000000"/>
                <w:sz w:val="24"/>
                <w:szCs w:val="24"/>
              </w:rPr>
            </w:pPr>
            <w:r>
              <w:rPr>
                <w:rFonts w:cs="Calibri"/>
                <w:color w:val="000000"/>
                <w:sz w:val="24"/>
                <w:szCs w:val="24"/>
              </w:rPr>
              <w:t>14,218.00</w:t>
            </w:r>
          </w:p>
        </w:tc>
        <w:tc>
          <w:tcPr>
            <w:tcW w:w="1530" w:type="dxa"/>
            <w:tcBorders>
              <w:top w:val="single" w:sz="4" w:space="0" w:color="000000"/>
              <w:left w:val="single" w:sz="4" w:space="0" w:color="000000"/>
              <w:bottom w:val="single" w:sz="4" w:space="0" w:color="000000"/>
              <w:right w:val="single" w:sz="4" w:space="0" w:color="000000"/>
            </w:tcBorders>
          </w:tcPr>
          <w:p w:rsidR="00B52643" w:rsidRDefault="009C71A6" w:rsidP="00B52643">
            <w:pPr>
              <w:ind w:left="-250"/>
              <w:jc w:val="right"/>
              <w:rPr>
                <w:rFonts w:cs="Calibri"/>
                <w:color w:val="000000"/>
                <w:sz w:val="24"/>
                <w:szCs w:val="24"/>
              </w:rPr>
            </w:pPr>
            <w:r>
              <w:rPr>
                <w:rFonts w:cs="Calibri"/>
                <w:color w:val="000000"/>
                <w:sz w:val="24"/>
                <w:szCs w:val="24"/>
              </w:rPr>
              <w:t>+7.37%</w:t>
            </w:r>
          </w:p>
        </w:tc>
      </w:tr>
      <w:tr w:rsidR="00DC1C50" w:rsidTr="00B55E02">
        <w:tc>
          <w:tcPr>
            <w:tcW w:w="521" w:type="dxa"/>
            <w:tcBorders>
              <w:top w:val="single" w:sz="4" w:space="0" w:color="000000"/>
              <w:left w:val="single" w:sz="4" w:space="0" w:color="000000"/>
              <w:bottom w:val="single" w:sz="4" w:space="0" w:color="000000"/>
              <w:right w:val="single" w:sz="4" w:space="0" w:color="000000"/>
            </w:tcBorders>
          </w:tcPr>
          <w:p w:rsidR="00DC1C50" w:rsidRDefault="00DC1C50" w:rsidP="00DC1C50">
            <w:pPr>
              <w:rPr>
                <w:sz w:val="24"/>
                <w:szCs w:val="24"/>
              </w:rPr>
            </w:pPr>
            <w:r>
              <w:rPr>
                <w:sz w:val="24"/>
                <w:szCs w:val="24"/>
              </w:rPr>
              <w:t>8.</w:t>
            </w:r>
          </w:p>
        </w:tc>
        <w:tc>
          <w:tcPr>
            <w:tcW w:w="2179" w:type="dxa"/>
            <w:tcBorders>
              <w:top w:val="single" w:sz="4" w:space="0" w:color="000000"/>
              <w:left w:val="single" w:sz="4" w:space="0" w:color="000000"/>
              <w:bottom w:val="single" w:sz="4" w:space="0" w:color="000000"/>
              <w:right w:val="single" w:sz="4" w:space="0" w:color="000000"/>
            </w:tcBorders>
          </w:tcPr>
          <w:p w:rsidR="00DC1C50" w:rsidRDefault="00DC1C50" w:rsidP="00F1209A">
            <w:pPr>
              <w:spacing w:after="120" w:line="240" w:lineRule="auto"/>
              <w:rPr>
                <w:b/>
                <w:sz w:val="24"/>
                <w:szCs w:val="24"/>
              </w:rPr>
            </w:pPr>
            <w:r>
              <w:rPr>
                <w:b/>
                <w:sz w:val="24"/>
                <w:szCs w:val="24"/>
              </w:rPr>
              <w:t>Corporation Bank</w:t>
            </w:r>
          </w:p>
        </w:tc>
        <w:tc>
          <w:tcPr>
            <w:tcW w:w="1620" w:type="dxa"/>
            <w:tcBorders>
              <w:top w:val="single" w:sz="4" w:space="0" w:color="000000"/>
              <w:left w:val="single" w:sz="4" w:space="0" w:color="000000"/>
              <w:bottom w:val="single" w:sz="4" w:space="0" w:color="000000"/>
              <w:right w:val="single" w:sz="4" w:space="0" w:color="000000"/>
            </w:tcBorders>
          </w:tcPr>
          <w:p w:rsidR="00DC1C50" w:rsidRDefault="00DC1C50" w:rsidP="00DC1C50">
            <w:pPr>
              <w:spacing w:after="0" w:line="240" w:lineRule="auto"/>
              <w:jc w:val="right"/>
              <w:rPr>
                <w:sz w:val="24"/>
                <w:szCs w:val="24"/>
              </w:rPr>
            </w:pPr>
            <w:r>
              <w:rPr>
                <w:sz w:val="24"/>
                <w:szCs w:val="24"/>
              </w:rPr>
              <w:t>11 + 943</w:t>
            </w:r>
          </w:p>
          <w:p w:rsidR="00DC1C50" w:rsidRPr="00205D47" w:rsidRDefault="00DC1C50" w:rsidP="00C32E32">
            <w:pPr>
              <w:spacing w:after="0" w:line="240" w:lineRule="auto"/>
              <w:jc w:val="right"/>
              <w:rPr>
                <w:sz w:val="24"/>
                <w:szCs w:val="24"/>
              </w:rPr>
            </w:pPr>
            <w:r>
              <w:rPr>
                <w:sz w:val="24"/>
                <w:szCs w:val="24"/>
              </w:rPr>
              <w:t>=</w:t>
            </w:r>
            <w:r w:rsidRPr="00D128E1">
              <w:rPr>
                <w:b/>
                <w:sz w:val="24"/>
                <w:szCs w:val="24"/>
              </w:rPr>
              <w:t>954</w:t>
            </w:r>
          </w:p>
        </w:tc>
        <w:tc>
          <w:tcPr>
            <w:tcW w:w="1620" w:type="dxa"/>
            <w:tcBorders>
              <w:top w:val="single" w:sz="4" w:space="0" w:color="000000"/>
              <w:left w:val="single" w:sz="4" w:space="0" w:color="000000"/>
              <w:bottom w:val="single" w:sz="4" w:space="0" w:color="000000"/>
              <w:right w:val="single" w:sz="4" w:space="0" w:color="000000"/>
            </w:tcBorders>
          </w:tcPr>
          <w:p w:rsidR="00DC1C50" w:rsidRDefault="00DC1C50" w:rsidP="00DC1C50">
            <w:pPr>
              <w:spacing w:after="0" w:line="240" w:lineRule="auto"/>
              <w:jc w:val="right"/>
              <w:rPr>
                <w:sz w:val="24"/>
                <w:szCs w:val="24"/>
              </w:rPr>
            </w:pPr>
            <w:r>
              <w:rPr>
                <w:sz w:val="24"/>
                <w:szCs w:val="24"/>
              </w:rPr>
              <w:t>28 + 879</w:t>
            </w:r>
          </w:p>
          <w:p w:rsidR="00DC1C50" w:rsidRDefault="00DC1C50" w:rsidP="00DC1C50">
            <w:pPr>
              <w:spacing w:after="0" w:line="240" w:lineRule="auto"/>
              <w:jc w:val="right"/>
              <w:rPr>
                <w:b/>
                <w:sz w:val="24"/>
                <w:szCs w:val="24"/>
              </w:rPr>
            </w:pPr>
            <w:r>
              <w:rPr>
                <w:sz w:val="24"/>
                <w:szCs w:val="24"/>
              </w:rPr>
              <w:t>=</w:t>
            </w:r>
            <w:r>
              <w:rPr>
                <w:b/>
                <w:sz w:val="24"/>
                <w:szCs w:val="24"/>
              </w:rPr>
              <w:t>907</w:t>
            </w:r>
          </w:p>
        </w:tc>
        <w:tc>
          <w:tcPr>
            <w:tcW w:w="1620" w:type="dxa"/>
            <w:tcBorders>
              <w:top w:val="single" w:sz="4" w:space="0" w:color="000000"/>
              <w:left w:val="single" w:sz="4" w:space="0" w:color="000000"/>
              <w:bottom w:val="single" w:sz="4" w:space="0" w:color="000000"/>
              <w:right w:val="single" w:sz="4" w:space="0" w:color="000000"/>
            </w:tcBorders>
          </w:tcPr>
          <w:p w:rsidR="00DC1C50" w:rsidRDefault="00F1209A" w:rsidP="00DC1C50">
            <w:pPr>
              <w:jc w:val="right"/>
              <w:rPr>
                <w:sz w:val="24"/>
                <w:szCs w:val="24"/>
              </w:rPr>
            </w:pPr>
            <w:r>
              <w:rPr>
                <w:sz w:val="24"/>
                <w:szCs w:val="24"/>
              </w:rPr>
              <w:t>-6.80</w:t>
            </w:r>
            <w:r w:rsidR="00DC1C50">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DC1C50" w:rsidRDefault="00DC1C50" w:rsidP="00DC1C50">
            <w:pPr>
              <w:spacing w:after="0" w:line="240" w:lineRule="auto"/>
              <w:jc w:val="right"/>
              <w:rPr>
                <w:sz w:val="24"/>
                <w:szCs w:val="24"/>
              </w:rPr>
            </w:pPr>
            <w:r>
              <w:rPr>
                <w:sz w:val="24"/>
                <w:szCs w:val="24"/>
              </w:rPr>
              <w:t>32 + 1,186</w:t>
            </w:r>
          </w:p>
          <w:p w:rsidR="00DC1C50" w:rsidRPr="007B3C22" w:rsidRDefault="00DC1C50" w:rsidP="00DC1C50">
            <w:pPr>
              <w:spacing w:after="0" w:line="240" w:lineRule="auto"/>
              <w:jc w:val="right"/>
              <w:rPr>
                <w:sz w:val="24"/>
                <w:szCs w:val="24"/>
              </w:rPr>
            </w:pPr>
            <w:r>
              <w:rPr>
                <w:sz w:val="24"/>
                <w:szCs w:val="24"/>
              </w:rPr>
              <w:t>=</w:t>
            </w:r>
            <w:r w:rsidRPr="00502CF0">
              <w:rPr>
                <w:b/>
                <w:sz w:val="24"/>
                <w:szCs w:val="24"/>
              </w:rPr>
              <w:t>1,218</w:t>
            </w:r>
          </w:p>
        </w:tc>
        <w:tc>
          <w:tcPr>
            <w:tcW w:w="1530" w:type="dxa"/>
            <w:tcBorders>
              <w:top w:val="single" w:sz="4" w:space="0" w:color="000000"/>
              <w:left w:val="single" w:sz="4" w:space="0" w:color="000000"/>
              <w:bottom w:val="single" w:sz="4" w:space="0" w:color="000000"/>
              <w:right w:val="single" w:sz="4" w:space="0" w:color="000000"/>
            </w:tcBorders>
          </w:tcPr>
          <w:p w:rsidR="00DC1C50" w:rsidRDefault="004A240B" w:rsidP="00DC1C50">
            <w:pPr>
              <w:jc w:val="right"/>
              <w:rPr>
                <w:sz w:val="24"/>
                <w:szCs w:val="24"/>
              </w:rPr>
            </w:pPr>
            <w:r>
              <w:rPr>
                <w:sz w:val="24"/>
                <w:szCs w:val="24"/>
              </w:rPr>
              <w:t>+34.93%</w:t>
            </w:r>
          </w:p>
        </w:tc>
        <w:tc>
          <w:tcPr>
            <w:tcW w:w="1147" w:type="dxa"/>
            <w:tcBorders>
              <w:top w:val="single" w:sz="4" w:space="0" w:color="000000"/>
              <w:left w:val="single" w:sz="4" w:space="0" w:color="000000"/>
              <w:bottom w:val="single" w:sz="4" w:space="0" w:color="000000"/>
              <w:right w:val="single" w:sz="4" w:space="0" w:color="000000"/>
            </w:tcBorders>
          </w:tcPr>
          <w:p w:rsidR="00DC1C50" w:rsidRDefault="00DC1C50" w:rsidP="00DC1C50">
            <w:pPr>
              <w:jc w:val="right"/>
              <w:rPr>
                <w:sz w:val="24"/>
                <w:szCs w:val="24"/>
              </w:rPr>
            </w:pPr>
            <w:r>
              <w:rPr>
                <w:sz w:val="24"/>
                <w:szCs w:val="24"/>
              </w:rPr>
              <w:t>45.8%</w:t>
            </w:r>
          </w:p>
        </w:tc>
        <w:tc>
          <w:tcPr>
            <w:tcW w:w="1237" w:type="dxa"/>
            <w:tcBorders>
              <w:top w:val="single" w:sz="4" w:space="0" w:color="000000"/>
              <w:left w:val="single" w:sz="4" w:space="0" w:color="000000"/>
              <w:bottom w:val="single" w:sz="4" w:space="0" w:color="000000"/>
              <w:right w:val="single" w:sz="4" w:space="0" w:color="000000"/>
            </w:tcBorders>
          </w:tcPr>
          <w:p w:rsidR="00DC1C50" w:rsidRDefault="00DC1C50" w:rsidP="00DC1C50">
            <w:pPr>
              <w:jc w:val="right"/>
              <w:rPr>
                <w:sz w:val="24"/>
                <w:szCs w:val="24"/>
              </w:rPr>
            </w:pPr>
            <w:r>
              <w:rPr>
                <w:sz w:val="24"/>
                <w:szCs w:val="24"/>
              </w:rPr>
              <w:t>49.6%</w:t>
            </w:r>
          </w:p>
        </w:tc>
        <w:tc>
          <w:tcPr>
            <w:tcW w:w="1350" w:type="dxa"/>
            <w:tcBorders>
              <w:top w:val="single" w:sz="4" w:space="0" w:color="000000"/>
              <w:left w:val="single" w:sz="4" w:space="0" w:color="000000"/>
              <w:bottom w:val="single" w:sz="4" w:space="0" w:color="000000"/>
              <w:right w:val="single" w:sz="4" w:space="0" w:color="000000"/>
            </w:tcBorders>
          </w:tcPr>
          <w:p w:rsidR="00DC1C50" w:rsidRPr="00205D47" w:rsidRDefault="00DC1C50" w:rsidP="00DC1C50">
            <w:pPr>
              <w:spacing w:after="0" w:line="240" w:lineRule="auto"/>
              <w:jc w:val="right"/>
              <w:rPr>
                <w:sz w:val="24"/>
                <w:szCs w:val="24"/>
              </w:rPr>
            </w:pPr>
            <w:r>
              <w:rPr>
                <w:sz w:val="24"/>
                <w:szCs w:val="24"/>
              </w:rPr>
              <w:t>47.3%</w:t>
            </w:r>
          </w:p>
        </w:tc>
        <w:tc>
          <w:tcPr>
            <w:tcW w:w="1170" w:type="dxa"/>
            <w:tcBorders>
              <w:top w:val="single" w:sz="4" w:space="0" w:color="000000"/>
              <w:left w:val="single" w:sz="4" w:space="0" w:color="000000"/>
              <w:bottom w:val="single" w:sz="4" w:space="0" w:color="000000"/>
              <w:right w:val="single" w:sz="4" w:space="0" w:color="000000"/>
            </w:tcBorders>
          </w:tcPr>
          <w:p w:rsidR="00DC1C50" w:rsidRDefault="00F37868" w:rsidP="00DC1C50">
            <w:pPr>
              <w:jc w:val="right"/>
              <w:rPr>
                <w:sz w:val="24"/>
                <w:szCs w:val="24"/>
              </w:rPr>
            </w:pPr>
            <w:r>
              <w:rPr>
                <w:sz w:val="24"/>
                <w:szCs w:val="24"/>
              </w:rPr>
              <w:t>2</w:t>
            </w:r>
            <w:r w:rsidR="00CB2242">
              <w:rPr>
                <w:sz w:val="24"/>
                <w:szCs w:val="24"/>
              </w:rPr>
              <w:t>,</w:t>
            </w:r>
            <w:r>
              <w:rPr>
                <w:sz w:val="24"/>
                <w:szCs w:val="24"/>
              </w:rPr>
              <w:t>561</w:t>
            </w:r>
          </w:p>
        </w:tc>
        <w:tc>
          <w:tcPr>
            <w:tcW w:w="1170" w:type="dxa"/>
            <w:tcBorders>
              <w:top w:val="single" w:sz="4" w:space="0" w:color="000000"/>
              <w:left w:val="single" w:sz="4" w:space="0" w:color="000000"/>
              <w:bottom w:val="single" w:sz="4" w:space="0" w:color="000000"/>
              <w:right w:val="single" w:sz="4" w:space="0" w:color="000000"/>
            </w:tcBorders>
          </w:tcPr>
          <w:p w:rsidR="00DC1C50" w:rsidRDefault="00F37868" w:rsidP="00DC1C50">
            <w:pPr>
              <w:ind w:left="-250"/>
              <w:jc w:val="right"/>
              <w:rPr>
                <w:rFonts w:cs="Calibri"/>
                <w:color w:val="000000"/>
                <w:sz w:val="24"/>
                <w:szCs w:val="24"/>
              </w:rPr>
            </w:pPr>
            <w:r>
              <w:rPr>
                <w:rFonts w:cs="Calibri"/>
                <w:color w:val="000000"/>
                <w:sz w:val="24"/>
                <w:szCs w:val="24"/>
              </w:rPr>
              <w:t>0.46</w:t>
            </w:r>
          </w:p>
        </w:tc>
        <w:tc>
          <w:tcPr>
            <w:tcW w:w="1597" w:type="dxa"/>
            <w:tcBorders>
              <w:top w:val="single" w:sz="4" w:space="0" w:color="000000"/>
              <w:left w:val="single" w:sz="4" w:space="0" w:color="000000"/>
              <w:bottom w:val="single" w:sz="4" w:space="0" w:color="000000"/>
              <w:right w:val="single" w:sz="4" w:space="0" w:color="000000"/>
            </w:tcBorders>
          </w:tcPr>
          <w:p w:rsidR="00DC1C50" w:rsidRDefault="00DC1C50" w:rsidP="00DC1C50">
            <w:pPr>
              <w:ind w:left="-250"/>
              <w:jc w:val="right"/>
              <w:rPr>
                <w:rFonts w:cs="Calibri"/>
                <w:color w:val="000000"/>
                <w:sz w:val="24"/>
                <w:szCs w:val="24"/>
              </w:rPr>
            </w:pPr>
            <w:r>
              <w:rPr>
                <w:rFonts w:cs="Calibri"/>
                <w:color w:val="000000"/>
                <w:sz w:val="24"/>
                <w:szCs w:val="24"/>
              </w:rPr>
              <w:t>9,160.10</w:t>
            </w:r>
          </w:p>
        </w:tc>
        <w:tc>
          <w:tcPr>
            <w:tcW w:w="1463" w:type="dxa"/>
            <w:tcBorders>
              <w:top w:val="single" w:sz="4" w:space="0" w:color="000000"/>
              <w:left w:val="single" w:sz="4" w:space="0" w:color="000000"/>
              <w:bottom w:val="single" w:sz="4" w:space="0" w:color="000000"/>
              <w:right w:val="single" w:sz="4" w:space="0" w:color="000000"/>
            </w:tcBorders>
          </w:tcPr>
          <w:p w:rsidR="00DC1C50" w:rsidRDefault="00CB2242" w:rsidP="00DC1C50">
            <w:pPr>
              <w:ind w:left="-250"/>
              <w:jc w:val="right"/>
              <w:rPr>
                <w:rFonts w:cs="Calibri"/>
                <w:color w:val="000000"/>
                <w:sz w:val="24"/>
                <w:szCs w:val="24"/>
              </w:rPr>
            </w:pPr>
            <w:r>
              <w:rPr>
                <w:rFonts w:cs="Calibri"/>
                <w:color w:val="000000"/>
                <w:sz w:val="24"/>
                <w:szCs w:val="24"/>
              </w:rPr>
              <w:t>11,692.20</w:t>
            </w:r>
          </w:p>
        </w:tc>
        <w:tc>
          <w:tcPr>
            <w:tcW w:w="1530" w:type="dxa"/>
            <w:tcBorders>
              <w:top w:val="single" w:sz="4" w:space="0" w:color="000000"/>
              <w:left w:val="single" w:sz="4" w:space="0" w:color="000000"/>
              <w:bottom w:val="single" w:sz="4" w:space="0" w:color="000000"/>
              <w:right w:val="single" w:sz="4" w:space="0" w:color="000000"/>
            </w:tcBorders>
          </w:tcPr>
          <w:p w:rsidR="00DC1C50" w:rsidRDefault="009C71A6" w:rsidP="00DC1C50">
            <w:pPr>
              <w:ind w:left="-250"/>
              <w:jc w:val="right"/>
              <w:rPr>
                <w:rFonts w:cs="Calibri"/>
                <w:color w:val="000000"/>
                <w:sz w:val="24"/>
                <w:szCs w:val="24"/>
              </w:rPr>
            </w:pPr>
            <w:r>
              <w:rPr>
                <w:rFonts w:cs="Calibri"/>
                <w:color w:val="000000"/>
                <w:sz w:val="24"/>
                <w:szCs w:val="24"/>
              </w:rPr>
              <w:t>+27.64%</w:t>
            </w:r>
          </w:p>
        </w:tc>
      </w:tr>
      <w:tr w:rsidR="00DC1C50" w:rsidTr="00B55E02">
        <w:tc>
          <w:tcPr>
            <w:tcW w:w="521" w:type="dxa"/>
            <w:tcBorders>
              <w:top w:val="single" w:sz="4" w:space="0" w:color="000000"/>
              <w:left w:val="single" w:sz="4" w:space="0" w:color="000000"/>
              <w:bottom w:val="single" w:sz="4" w:space="0" w:color="000000"/>
              <w:right w:val="single" w:sz="4" w:space="0" w:color="000000"/>
            </w:tcBorders>
          </w:tcPr>
          <w:p w:rsidR="00DC1C50" w:rsidRDefault="00DC1C50" w:rsidP="00DC1C50">
            <w:pPr>
              <w:rPr>
                <w:sz w:val="24"/>
                <w:szCs w:val="24"/>
              </w:rPr>
            </w:pPr>
            <w:r>
              <w:rPr>
                <w:sz w:val="24"/>
                <w:szCs w:val="24"/>
              </w:rPr>
              <w:lastRenderedPageBreak/>
              <w:t>9.</w:t>
            </w:r>
          </w:p>
        </w:tc>
        <w:tc>
          <w:tcPr>
            <w:tcW w:w="2179" w:type="dxa"/>
            <w:tcBorders>
              <w:top w:val="single" w:sz="4" w:space="0" w:color="000000"/>
              <w:left w:val="single" w:sz="4" w:space="0" w:color="000000"/>
              <w:bottom w:val="single" w:sz="4" w:space="0" w:color="000000"/>
              <w:right w:val="single" w:sz="4" w:space="0" w:color="000000"/>
            </w:tcBorders>
          </w:tcPr>
          <w:p w:rsidR="00DC1C50" w:rsidRDefault="00DC1C50" w:rsidP="00DC1C50">
            <w:pPr>
              <w:rPr>
                <w:b/>
                <w:sz w:val="24"/>
                <w:szCs w:val="24"/>
              </w:rPr>
            </w:pPr>
            <w:r>
              <w:rPr>
                <w:b/>
                <w:sz w:val="24"/>
                <w:szCs w:val="24"/>
              </w:rPr>
              <w:t>Dena Bank</w:t>
            </w:r>
          </w:p>
        </w:tc>
        <w:tc>
          <w:tcPr>
            <w:tcW w:w="1620" w:type="dxa"/>
            <w:tcBorders>
              <w:top w:val="single" w:sz="4" w:space="0" w:color="000000"/>
              <w:left w:val="single" w:sz="4" w:space="0" w:color="000000"/>
              <w:bottom w:val="single" w:sz="4" w:space="0" w:color="000000"/>
              <w:right w:val="single" w:sz="4" w:space="0" w:color="000000"/>
            </w:tcBorders>
          </w:tcPr>
          <w:p w:rsidR="00DC1C50" w:rsidRDefault="00DC1C50" w:rsidP="00DC1C50">
            <w:pPr>
              <w:spacing w:after="0" w:line="240" w:lineRule="auto"/>
              <w:jc w:val="right"/>
              <w:rPr>
                <w:sz w:val="24"/>
                <w:szCs w:val="24"/>
              </w:rPr>
            </w:pPr>
            <w:r>
              <w:rPr>
                <w:sz w:val="24"/>
                <w:szCs w:val="24"/>
              </w:rPr>
              <w:t>67 + 934</w:t>
            </w:r>
          </w:p>
          <w:p w:rsidR="00DC1C50" w:rsidRDefault="00DC1C50" w:rsidP="00FA5443">
            <w:pPr>
              <w:spacing w:after="0" w:line="240" w:lineRule="auto"/>
              <w:jc w:val="right"/>
              <w:rPr>
                <w:sz w:val="24"/>
                <w:szCs w:val="24"/>
              </w:rPr>
            </w:pPr>
            <w:r>
              <w:rPr>
                <w:sz w:val="24"/>
                <w:szCs w:val="24"/>
              </w:rPr>
              <w:t xml:space="preserve">= </w:t>
            </w:r>
            <w:r w:rsidRPr="00E066F7">
              <w:rPr>
                <w:b/>
                <w:sz w:val="24"/>
                <w:szCs w:val="24"/>
              </w:rPr>
              <w:t>1,001</w:t>
            </w:r>
          </w:p>
        </w:tc>
        <w:tc>
          <w:tcPr>
            <w:tcW w:w="1620" w:type="dxa"/>
            <w:tcBorders>
              <w:top w:val="single" w:sz="4" w:space="0" w:color="000000"/>
              <w:left w:val="single" w:sz="4" w:space="0" w:color="000000"/>
              <w:bottom w:val="single" w:sz="4" w:space="0" w:color="000000"/>
              <w:right w:val="single" w:sz="4" w:space="0" w:color="000000"/>
            </w:tcBorders>
          </w:tcPr>
          <w:p w:rsidR="00DC1C50" w:rsidRDefault="00DC1C50" w:rsidP="00DC1C50">
            <w:pPr>
              <w:spacing w:after="0" w:line="240" w:lineRule="auto"/>
              <w:jc w:val="right"/>
              <w:rPr>
                <w:sz w:val="24"/>
                <w:szCs w:val="24"/>
              </w:rPr>
            </w:pPr>
            <w:r>
              <w:rPr>
                <w:sz w:val="24"/>
                <w:szCs w:val="24"/>
              </w:rPr>
              <w:t>26 + 1,005</w:t>
            </w:r>
          </w:p>
          <w:p w:rsidR="00DC1C50" w:rsidRDefault="00DC1C50" w:rsidP="00DC1C50">
            <w:pPr>
              <w:spacing w:after="0" w:line="240" w:lineRule="auto"/>
              <w:jc w:val="right"/>
              <w:rPr>
                <w:sz w:val="24"/>
                <w:szCs w:val="24"/>
              </w:rPr>
            </w:pPr>
            <w:r>
              <w:rPr>
                <w:sz w:val="24"/>
                <w:szCs w:val="24"/>
              </w:rPr>
              <w:t>=</w:t>
            </w:r>
            <w:r w:rsidRPr="00E066F7">
              <w:rPr>
                <w:b/>
                <w:sz w:val="24"/>
                <w:szCs w:val="24"/>
              </w:rPr>
              <w:t>1,031</w:t>
            </w:r>
          </w:p>
        </w:tc>
        <w:tc>
          <w:tcPr>
            <w:tcW w:w="1620" w:type="dxa"/>
            <w:tcBorders>
              <w:top w:val="single" w:sz="4" w:space="0" w:color="000000"/>
              <w:left w:val="single" w:sz="4" w:space="0" w:color="000000"/>
              <w:bottom w:val="single" w:sz="4" w:space="0" w:color="000000"/>
              <w:right w:val="single" w:sz="4" w:space="0" w:color="000000"/>
            </w:tcBorders>
          </w:tcPr>
          <w:p w:rsidR="00DC1C50" w:rsidRDefault="004A240B" w:rsidP="004A240B">
            <w:pPr>
              <w:jc w:val="right"/>
              <w:rPr>
                <w:sz w:val="24"/>
                <w:szCs w:val="24"/>
              </w:rPr>
            </w:pPr>
            <w:r>
              <w:rPr>
                <w:sz w:val="24"/>
                <w:szCs w:val="24"/>
              </w:rPr>
              <w:t>-7.60%</w:t>
            </w:r>
          </w:p>
        </w:tc>
        <w:tc>
          <w:tcPr>
            <w:tcW w:w="1643" w:type="dxa"/>
            <w:tcBorders>
              <w:top w:val="single" w:sz="4" w:space="0" w:color="000000"/>
              <w:left w:val="single" w:sz="4" w:space="0" w:color="000000"/>
              <w:bottom w:val="single" w:sz="4" w:space="0" w:color="000000"/>
              <w:right w:val="single" w:sz="4" w:space="0" w:color="000000"/>
            </w:tcBorders>
          </w:tcPr>
          <w:p w:rsidR="00DC1C50" w:rsidRPr="00C065A8" w:rsidRDefault="00DC1C50" w:rsidP="00DC1C50">
            <w:pPr>
              <w:spacing w:after="0" w:line="240" w:lineRule="auto"/>
              <w:jc w:val="right"/>
              <w:rPr>
                <w:sz w:val="24"/>
                <w:szCs w:val="24"/>
              </w:rPr>
            </w:pPr>
            <w:r w:rsidRPr="00C065A8">
              <w:rPr>
                <w:sz w:val="24"/>
                <w:szCs w:val="24"/>
              </w:rPr>
              <w:t>38 + 1</w:t>
            </w:r>
            <w:r>
              <w:rPr>
                <w:sz w:val="24"/>
                <w:szCs w:val="24"/>
              </w:rPr>
              <w:t>,</w:t>
            </w:r>
            <w:r w:rsidRPr="00C065A8">
              <w:rPr>
                <w:sz w:val="24"/>
                <w:szCs w:val="24"/>
              </w:rPr>
              <w:t>027</w:t>
            </w:r>
          </w:p>
          <w:p w:rsidR="00DC1C50" w:rsidRPr="00BB64A9" w:rsidRDefault="00DC1C50" w:rsidP="00DC1C50">
            <w:pPr>
              <w:spacing w:after="0" w:line="240" w:lineRule="auto"/>
              <w:jc w:val="right"/>
              <w:rPr>
                <w:color w:val="FF0000"/>
                <w:sz w:val="24"/>
                <w:szCs w:val="24"/>
              </w:rPr>
            </w:pPr>
            <w:r w:rsidRPr="00C065A8">
              <w:rPr>
                <w:sz w:val="24"/>
                <w:szCs w:val="24"/>
              </w:rPr>
              <w:t>=</w:t>
            </w:r>
            <w:r w:rsidRPr="00C065A8">
              <w:rPr>
                <w:b/>
                <w:sz w:val="24"/>
                <w:szCs w:val="24"/>
              </w:rPr>
              <w:t>1,065</w:t>
            </w:r>
          </w:p>
        </w:tc>
        <w:tc>
          <w:tcPr>
            <w:tcW w:w="1530" w:type="dxa"/>
            <w:tcBorders>
              <w:top w:val="single" w:sz="4" w:space="0" w:color="000000"/>
              <w:left w:val="single" w:sz="4" w:space="0" w:color="000000"/>
              <w:bottom w:val="single" w:sz="4" w:space="0" w:color="000000"/>
              <w:right w:val="single" w:sz="4" w:space="0" w:color="000000"/>
            </w:tcBorders>
          </w:tcPr>
          <w:p w:rsidR="00DC1C50" w:rsidRDefault="004A240B" w:rsidP="00DC1C50">
            <w:pPr>
              <w:jc w:val="right"/>
              <w:rPr>
                <w:sz w:val="24"/>
                <w:szCs w:val="24"/>
              </w:rPr>
            </w:pPr>
            <w:r>
              <w:rPr>
                <w:sz w:val="24"/>
                <w:szCs w:val="24"/>
              </w:rPr>
              <w:t>+2.19%</w:t>
            </w:r>
          </w:p>
        </w:tc>
        <w:tc>
          <w:tcPr>
            <w:tcW w:w="1147" w:type="dxa"/>
            <w:tcBorders>
              <w:top w:val="single" w:sz="4" w:space="0" w:color="000000"/>
              <w:left w:val="single" w:sz="4" w:space="0" w:color="000000"/>
              <w:bottom w:val="single" w:sz="4" w:space="0" w:color="000000"/>
              <w:right w:val="single" w:sz="4" w:space="0" w:color="000000"/>
            </w:tcBorders>
          </w:tcPr>
          <w:p w:rsidR="00DC1C50" w:rsidRPr="00205D47" w:rsidRDefault="00DC1C50" w:rsidP="00DC1C50">
            <w:pPr>
              <w:spacing w:after="0" w:line="240" w:lineRule="auto"/>
              <w:jc w:val="right"/>
              <w:rPr>
                <w:sz w:val="24"/>
                <w:szCs w:val="24"/>
              </w:rPr>
            </w:pPr>
            <w:r>
              <w:rPr>
                <w:sz w:val="24"/>
                <w:szCs w:val="24"/>
              </w:rPr>
              <w:t>47%</w:t>
            </w:r>
          </w:p>
        </w:tc>
        <w:tc>
          <w:tcPr>
            <w:tcW w:w="1237" w:type="dxa"/>
            <w:tcBorders>
              <w:top w:val="single" w:sz="4" w:space="0" w:color="000000"/>
              <w:left w:val="single" w:sz="4" w:space="0" w:color="000000"/>
              <w:bottom w:val="single" w:sz="4" w:space="0" w:color="000000"/>
              <w:right w:val="single" w:sz="4" w:space="0" w:color="000000"/>
            </w:tcBorders>
          </w:tcPr>
          <w:p w:rsidR="00DC1C50" w:rsidRPr="00205D47" w:rsidRDefault="00DC1C50" w:rsidP="00DC1C50">
            <w:pPr>
              <w:spacing w:after="0" w:line="240" w:lineRule="auto"/>
              <w:jc w:val="right"/>
              <w:rPr>
                <w:sz w:val="24"/>
                <w:szCs w:val="24"/>
              </w:rPr>
            </w:pPr>
            <w:r>
              <w:rPr>
                <w:sz w:val="24"/>
                <w:szCs w:val="24"/>
              </w:rPr>
              <w:t>48%</w:t>
            </w:r>
          </w:p>
        </w:tc>
        <w:tc>
          <w:tcPr>
            <w:tcW w:w="1350" w:type="dxa"/>
            <w:tcBorders>
              <w:top w:val="single" w:sz="4" w:space="0" w:color="000000"/>
              <w:left w:val="single" w:sz="4" w:space="0" w:color="000000"/>
              <w:bottom w:val="single" w:sz="4" w:space="0" w:color="000000"/>
              <w:right w:val="single" w:sz="4" w:space="0" w:color="000000"/>
            </w:tcBorders>
          </w:tcPr>
          <w:p w:rsidR="00DC1C50" w:rsidRPr="002B41A9" w:rsidRDefault="00DC1C50" w:rsidP="00DC1C50">
            <w:pPr>
              <w:spacing w:after="0" w:line="240" w:lineRule="auto"/>
              <w:jc w:val="right"/>
              <w:rPr>
                <w:sz w:val="24"/>
                <w:szCs w:val="24"/>
              </w:rPr>
            </w:pPr>
            <w:r>
              <w:rPr>
                <w:sz w:val="24"/>
                <w:szCs w:val="24"/>
              </w:rPr>
              <w:t>41.7%</w:t>
            </w:r>
          </w:p>
        </w:tc>
        <w:tc>
          <w:tcPr>
            <w:tcW w:w="1170" w:type="dxa"/>
            <w:tcBorders>
              <w:top w:val="single" w:sz="4" w:space="0" w:color="000000"/>
              <w:left w:val="single" w:sz="4" w:space="0" w:color="000000"/>
              <w:bottom w:val="single" w:sz="4" w:space="0" w:color="000000"/>
              <w:right w:val="single" w:sz="4" w:space="0" w:color="000000"/>
            </w:tcBorders>
          </w:tcPr>
          <w:p w:rsidR="00DC1C50" w:rsidRDefault="00F37868" w:rsidP="00DC1C50">
            <w:pPr>
              <w:jc w:val="right"/>
              <w:rPr>
                <w:sz w:val="24"/>
                <w:szCs w:val="24"/>
              </w:rPr>
            </w:pPr>
            <w:r>
              <w:rPr>
                <w:sz w:val="24"/>
                <w:szCs w:val="24"/>
              </w:rPr>
              <w:t>1</w:t>
            </w:r>
            <w:r w:rsidR="00CB2242">
              <w:rPr>
                <w:sz w:val="24"/>
                <w:szCs w:val="24"/>
              </w:rPr>
              <w:t>,</w:t>
            </w:r>
            <w:r>
              <w:rPr>
                <w:sz w:val="24"/>
                <w:szCs w:val="24"/>
              </w:rPr>
              <w:t>836</w:t>
            </w:r>
          </w:p>
        </w:tc>
        <w:tc>
          <w:tcPr>
            <w:tcW w:w="1170" w:type="dxa"/>
            <w:tcBorders>
              <w:top w:val="single" w:sz="4" w:space="0" w:color="000000"/>
              <w:left w:val="single" w:sz="4" w:space="0" w:color="000000"/>
              <w:bottom w:val="single" w:sz="4" w:space="0" w:color="000000"/>
              <w:right w:val="single" w:sz="4" w:space="0" w:color="000000"/>
            </w:tcBorders>
          </w:tcPr>
          <w:p w:rsidR="00DC1C50" w:rsidRDefault="00F37868" w:rsidP="00DC1C50">
            <w:pPr>
              <w:ind w:left="-250"/>
              <w:jc w:val="right"/>
              <w:rPr>
                <w:rFonts w:cs="Calibri"/>
                <w:color w:val="000000"/>
                <w:sz w:val="24"/>
                <w:szCs w:val="24"/>
              </w:rPr>
            </w:pPr>
            <w:r>
              <w:rPr>
                <w:rFonts w:cs="Calibri"/>
                <w:color w:val="000000"/>
                <w:sz w:val="24"/>
                <w:szCs w:val="24"/>
              </w:rPr>
              <w:t>0.56</w:t>
            </w:r>
          </w:p>
        </w:tc>
        <w:tc>
          <w:tcPr>
            <w:tcW w:w="1597" w:type="dxa"/>
            <w:tcBorders>
              <w:top w:val="single" w:sz="4" w:space="0" w:color="000000"/>
              <w:left w:val="single" w:sz="4" w:space="0" w:color="000000"/>
              <w:bottom w:val="single" w:sz="4" w:space="0" w:color="000000"/>
              <w:right w:val="single" w:sz="4" w:space="0" w:color="000000"/>
            </w:tcBorders>
          </w:tcPr>
          <w:p w:rsidR="00DC1C50" w:rsidRDefault="00CB2242" w:rsidP="00DC1C50">
            <w:pPr>
              <w:ind w:left="-250"/>
              <w:jc w:val="right"/>
              <w:rPr>
                <w:rFonts w:cs="Calibri"/>
                <w:color w:val="000000"/>
                <w:sz w:val="24"/>
                <w:szCs w:val="24"/>
              </w:rPr>
            </w:pPr>
            <w:r>
              <w:rPr>
                <w:rFonts w:cs="Calibri"/>
                <w:color w:val="000000"/>
                <w:sz w:val="24"/>
                <w:szCs w:val="24"/>
              </w:rPr>
              <w:t>5,230.50</w:t>
            </w:r>
          </w:p>
        </w:tc>
        <w:tc>
          <w:tcPr>
            <w:tcW w:w="1463" w:type="dxa"/>
            <w:tcBorders>
              <w:top w:val="single" w:sz="4" w:space="0" w:color="000000"/>
              <w:left w:val="single" w:sz="4" w:space="0" w:color="000000"/>
              <w:bottom w:val="single" w:sz="4" w:space="0" w:color="000000"/>
              <w:right w:val="single" w:sz="4" w:space="0" w:color="000000"/>
            </w:tcBorders>
          </w:tcPr>
          <w:p w:rsidR="00DC1C50" w:rsidRDefault="00CB2242" w:rsidP="00DC1C50">
            <w:pPr>
              <w:ind w:left="-250"/>
              <w:jc w:val="right"/>
              <w:rPr>
                <w:rFonts w:cs="Calibri"/>
                <w:color w:val="000000"/>
                <w:sz w:val="24"/>
                <w:szCs w:val="24"/>
              </w:rPr>
            </w:pPr>
            <w:r>
              <w:rPr>
                <w:rFonts w:cs="Calibri"/>
                <w:color w:val="000000"/>
                <w:sz w:val="24"/>
                <w:szCs w:val="24"/>
              </w:rPr>
              <w:t>7,735.10</w:t>
            </w:r>
          </w:p>
        </w:tc>
        <w:tc>
          <w:tcPr>
            <w:tcW w:w="1530" w:type="dxa"/>
            <w:tcBorders>
              <w:top w:val="single" w:sz="4" w:space="0" w:color="000000"/>
              <w:left w:val="single" w:sz="4" w:space="0" w:color="000000"/>
              <w:bottom w:val="single" w:sz="4" w:space="0" w:color="000000"/>
              <w:right w:val="single" w:sz="4" w:space="0" w:color="000000"/>
            </w:tcBorders>
          </w:tcPr>
          <w:p w:rsidR="00DC1C50" w:rsidRDefault="009C71A6" w:rsidP="00DC1C50">
            <w:pPr>
              <w:ind w:left="-250"/>
              <w:jc w:val="right"/>
              <w:rPr>
                <w:rFonts w:cs="Calibri"/>
                <w:color w:val="000000"/>
                <w:sz w:val="24"/>
                <w:szCs w:val="24"/>
              </w:rPr>
            </w:pPr>
            <w:r>
              <w:rPr>
                <w:rFonts w:cs="Calibri"/>
                <w:color w:val="000000"/>
                <w:sz w:val="24"/>
                <w:szCs w:val="24"/>
              </w:rPr>
              <w:t>+47.88%</w:t>
            </w:r>
          </w:p>
        </w:tc>
      </w:tr>
      <w:tr w:rsidR="00615570" w:rsidTr="00B55E02">
        <w:tc>
          <w:tcPr>
            <w:tcW w:w="21397" w:type="dxa"/>
            <w:gridSpan w:val="15"/>
            <w:tcBorders>
              <w:top w:val="single" w:sz="4" w:space="0" w:color="000000"/>
              <w:left w:val="single" w:sz="4" w:space="0" w:color="000000"/>
              <w:bottom w:val="single" w:sz="4" w:space="0" w:color="000000"/>
              <w:right w:val="single" w:sz="4" w:space="0" w:color="000000"/>
            </w:tcBorders>
          </w:tcPr>
          <w:p w:rsidR="00F10C64" w:rsidRPr="00FA5443" w:rsidRDefault="00F10C64" w:rsidP="00F10C64">
            <w:pPr>
              <w:spacing w:after="120"/>
              <w:jc w:val="center"/>
              <w:rPr>
                <w:b/>
                <w:sz w:val="36"/>
                <w:szCs w:val="36"/>
              </w:rPr>
            </w:pPr>
            <w:r w:rsidRPr="00FA5443">
              <w:rPr>
                <w:b/>
                <w:sz w:val="36"/>
                <w:szCs w:val="36"/>
              </w:rPr>
              <w:t xml:space="preserve">Comparative </w:t>
            </w:r>
            <w:r>
              <w:rPr>
                <w:b/>
                <w:sz w:val="36"/>
                <w:szCs w:val="36"/>
              </w:rPr>
              <w:t>Table</w:t>
            </w:r>
            <w:r w:rsidRPr="00FA5443">
              <w:rPr>
                <w:b/>
                <w:sz w:val="36"/>
                <w:szCs w:val="36"/>
              </w:rPr>
              <w:t xml:space="preserve"> </w:t>
            </w:r>
            <w:r>
              <w:rPr>
                <w:b/>
                <w:sz w:val="36"/>
                <w:szCs w:val="36"/>
              </w:rPr>
              <w:t xml:space="preserve">of </w:t>
            </w:r>
            <w:r w:rsidRPr="00FA5443">
              <w:rPr>
                <w:b/>
                <w:sz w:val="36"/>
                <w:szCs w:val="36"/>
              </w:rPr>
              <w:t xml:space="preserve">RTI Statistics of 26 Public Sector Banks &amp; Reserve Bank of India </w:t>
            </w:r>
          </w:p>
          <w:p w:rsidR="00615570" w:rsidRDefault="00F10C64" w:rsidP="00F10C64">
            <w:pPr>
              <w:tabs>
                <w:tab w:val="left" w:pos="9779"/>
                <w:tab w:val="center" w:pos="10602"/>
              </w:tabs>
              <w:jc w:val="center"/>
              <w:rPr>
                <w:b/>
                <w:sz w:val="24"/>
                <w:szCs w:val="24"/>
              </w:rPr>
            </w:pPr>
            <w:r>
              <w:rPr>
                <w:b/>
                <w:sz w:val="28"/>
                <w:szCs w:val="28"/>
              </w:rPr>
              <w:t>(2014-2017)</w:t>
            </w:r>
          </w:p>
        </w:tc>
      </w:tr>
      <w:tr w:rsidR="00615570" w:rsidTr="00B55E02">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w:t>
            </w:r>
          </w:p>
        </w:tc>
        <w:tc>
          <w:tcPr>
            <w:tcW w:w="2179"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Name of the Bank</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 xml:space="preserve">Total No. </w:t>
            </w:r>
          </w:p>
          <w:p w:rsidR="00615570" w:rsidRDefault="00615570" w:rsidP="00615570">
            <w:pPr>
              <w:jc w:val="center"/>
              <w:rPr>
                <w:b/>
                <w:sz w:val="24"/>
                <w:szCs w:val="24"/>
              </w:rPr>
            </w:pPr>
            <w:r>
              <w:rPr>
                <w:b/>
                <w:sz w:val="24"/>
                <w:szCs w:val="24"/>
              </w:rPr>
              <w:t>of RTI applications in 2014-15</w:t>
            </w:r>
          </w:p>
          <w:p w:rsidR="00615570" w:rsidRDefault="00615570" w:rsidP="00615570">
            <w:pPr>
              <w:jc w:val="center"/>
              <w:rPr>
                <w:b/>
                <w:sz w:val="24"/>
                <w:szCs w:val="24"/>
              </w:rPr>
            </w:pPr>
            <w:r>
              <w:rPr>
                <w:i/>
                <w:sz w:val="24"/>
                <w:szCs w:val="24"/>
              </w:rPr>
              <w:t>(includes 2013-14 backlog, where reported)</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 xml:space="preserve">Total No. </w:t>
            </w:r>
          </w:p>
          <w:p w:rsidR="00615570" w:rsidRDefault="00615570" w:rsidP="00615570">
            <w:pPr>
              <w:jc w:val="center"/>
              <w:rPr>
                <w:b/>
                <w:sz w:val="24"/>
                <w:szCs w:val="24"/>
              </w:rPr>
            </w:pPr>
            <w:r>
              <w:rPr>
                <w:b/>
                <w:sz w:val="24"/>
                <w:szCs w:val="24"/>
              </w:rPr>
              <w:t>of RTI applications in 2015-16</w:t>
            </w:r>
          </w:p>
          <w:p w:rsidR="00615570" w:rsidRDefault="00615570" w:rsidP="00615570">
            <w:pPr>
              <w:jc w:val="center"/>
              <w:rPr>
                <w:b/>
                <w:sz w:val="24"/>
                <w:szCs w:val="24"/>
              </w:rPr>
            </w:pPr>
            <w:r>
              <w:rPr>
                <w:i/>
                <w:sz w:val="24"/>
                <w:szCs w:val="24"/>
              </w:rPr>
              <w:t>(backlog from 2014-15 + receipts in 2015-16 = total)</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 xml:space="preserve">%age change in the number of RTI applications </w:t>
            </w:r>
            <w:r w:rsidR="00322174">
              <w:rPr>
                <w:b/>
                <w:sz w:val="24"/>
                <w:szCs w:val="24"/>
              </w:rPr>
              <w:t>received</w:t>
            </w:r>
            <w:r>
              <w:rPr>
                <w:b/>
                <w:sz w:val="24"/>
                <w:szCs w:val="24"/>
              </w:rPr>
              <w:t xml:space="preserve"> between 2014-15 and 2015-16</w:t>
            </w:r>
          </w:p>
          <w:p w:rsidR="00615570" w:rsidRDefault="00615570" w:rsidP="00615570">
            <w:pPr>
              <w:jc w:val="center"/>
              <w:rPr>
                <w:b/>
                <w:sz w:val="24"/>
                <w:szCs w:val="24"/>
              </w:rPr>
            </w:pPr>
            <w:r>
              <w:rPr>
                <w:b/>
                <w:sz w:val="24"/>
                <w:szCs w:val="24"/>
              </w:rPr>
              <w:t>(+ = increase</w:t>
            </w:r>
          </w:p>
          <w:p w:rsidR="00615570" w:rsidRDefault="00615570" w:rsidP="00615570">
            <w:pPr>
              <w:jc w:val="center"/>
              <w:rPr>
                <w:b/>
                <w:sz w:val="24"/>
                <w:szCs w:val="24"/>
              </w:rPr>
            </w:pPr>
            <w:r>
              <w:rPr>
                <w:b/>
                <w:sz w:val="24"/>
                <w:szCs w:val="24"/>
              </w:rPr>
              <w:t>- = decrease)</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 xml:space="preserve">Total No. </w:t>
            </w:r>
          </w:p>
          <w:p w:rsidR="00615570" w:rsidRDefault="00615570" w:rsidP="00615570">
            <w:pPr>
              <w:jc w:val="center"/>
              <w:rPr>
                <w:b/>
                <w:sz w:val="24"/>
                <w:szCs w:val="24"/>
              </w:rPr>
            </w:pPr>
            <w:r>
              <w:rPr>
                <w:b/>
                <w:sz w:val="24"/>
                <w:szCs w:val="24"/>
              </w:rPr>
              <w:t>of RTI applications in 2016-17</w:t>
            </w:r>
          </w:p>
          <w:p w:rsidR="00615570" w:rsidRDefault="00615570" w:rsidP="00615570">
            <w:pPr>
              <w:jc w:val="center"/>
              <w:rPr>
                <w:b/>
                <w:sz w:val="24"/>
                <w:szCs w:val="24"/>
              </w:rPr>
            </w:pPr>
            <w:r>
              <w:rPr>
                <w:i/>
                <w:sz w:val="24"/>
                <w:szCs w:val="24"/>
              </w:rPr>
              <w:t>(backlog from 2015-16 + receipts in 2016-17 = total</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 xml:space="preserve">%age change in the number of RTI applica-tions </w:t>
            </w:r>
            <w:r w:rsidR="00930D0E">
              <w:rPr>
                <w:b/>
                <w:sz w:val="24"/>
                <w:szCs w:val="24"/>
              </w:rPr>
              <w:t>received</w:t>
            </w:r>
            <w:r>
              <w:rPr>
                <w:b/>
                <w:sz w:val="24"/>
                <w:szCs w:val="24"/>
              </w:rPr>
              <w:t xml:space="preserve"> between 2015-16 and 2016-17</w:t>
            </w:r>
          </w:p>
          <w:p w:rsidR="00615570" w:rsidRDefault="00615570" w:rsidP="00615570">
            <w:pPr>
              <w:jc w:val="center"/>
              <w:rPr>
                <w:b/>
                <w:sz w:val="24"/>
                <w:szCs w:val="24"/>
              </w:rPr>
            </w:pPr>
            <w:r>
              <w:rPr>
                <w:b/>
                <w:sz w:val="24"/>
                <w:szCs w:val="24"/>
              </w:rPr>
              <w:t>(+ = increase</w:t>
            </w:r>
          </w:p>
          <w:p w:rsidR="00615570" w:rsidRDefault="00615570" w:rsidP="00615570">
            <w:pPr>
              <w:jc w:val="center"/>
              <w:rPr>
                <w:b/>
                <w:sz w:val="24"/>
                <w:szCs w:val="24"/>
              </w:rPr>
            </w:pPr>
            <w:r>
              <w:rPr>
                <w:b/>
                <w:sz w:val="24"/>
                <w:szCs w:val="24"/>
              </w:rPr>
              <w:t>- = decrease)</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%age of RTI applicat</w:t>
            </w:r>
            <w:r w:rsidR="00B55E02">
              <w:rPr>
                <w:b/>
                <w:sz w:val="24"/>
                <w:szCs w:val="24"/>
              </w:rPr>
              <w:t>-</w:t>
            </w:r>
            <w:r>
              <w:rPr>
                <w:b/>
                <w:sz w:val="24"/>
                <w:szCs w:val="24"/>
              </w:rPr>
              <w:t xml:space="preserve">ions rejected by the Bank in </w:t>
            </w:r>
          </w:p>
          <w:p w:rsidR="00615570" w:rsidRDefault="00615570" w:rsidP="00615570">
            <w:pPr>
              <w:jc w:val="center"/>
              <w:rPr>
                <w:b/>
                <w:sz w:val="24"/>
                <w:szCs w:val="24"/>
              </w:rPr>
            </w:pPr>
            <w:r>
              <w:rPr>
                <w:b/>
                <w:sz w:val="24"/>
                <w:szCs w:val="24"/>
              </w:rPr>
              <w:t>2014-15</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 xml:space="preserve">%age of RTI applicat-ions rejected by the Bank in </w:t>
            </w:r>
          </w:p>
          <w:p w:rsidR="00615570" w:rsidRDefault="00615570" w:rsidP="00615570">
            <w:pPr>
              <w:jc w:val="center"/>
              <w:rPr>
                <w:b/>
                <w:sz w:val="24"/>
                <w:szCs w:val="24"/>
              </w:rPr>
            </w:pPr>
            <w:r>
              <w:rPr>
                <w:b/>
                <w:sz w:val="24"/>
                <w:szCs w:val="24"/>
              </w:rPr>
              <w:t>2015-16</w:t>
            </w:r>
          </w:p>
        </w:tc>
        <w:tc>
          <w:tcPr>
            <w:tcW w:w="135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 xml:space="preserve">%age of RTI applica-tions rejected by the Bank in </w:t>
            </w:r>
          </w:p>
          <w:p w:rsidR="00615570" w:rsidRDefault="00615570" w:rsidP="00615570">
            <w:pPr>
              <w:jc w:val="center"/>
              <w:rPr>
                <w:b/>
                <w:sz w:val="24"/>
                <w:szCs w:val="24"/>
              </w:rPr>
            </w:pPr>
            <w:r>
              <w:rPr>
                <w:b/>
                <w:sz w:val="24"/>
                <w:szCs w:val="24"/>
              </w:rPr>
              <w:t>2016-17</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No. of Branches across the country</w:t>
            </w:r>
          </w:p>
          <w:p w:rsidR="00615570" w:rsidRDefault="00615570" w:rsidP="00615570">
            <w:pPr>
              <w:jc w:val="center"/>
              <w:rPr>
                <w:b/>
                <w:sz w:val="24"/>
                <w:szCs w:val="24"/>
              </w:rPr>
            </w:pPr>
            <w:r>
              <w:rPr>
                <w:b/>
                <w:sz w:val="24"/>
                <w:szCs w:val="24"/>
              </w:rPr>
              <w:t>(as on March 2017)</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Average number of RTI applicat-ions per branch in 2016-17</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Volume of Net NPAs as on 31 March 2016</w:t>
            </w:r>
          </w:p>
          <w:p w:rsidR="00615570" w:rsidRDefault="00615570" w:rsidP="00615570">
            <w:pPr>
              <w:jc w:val="center"/>
              <w:rPr>
                <w:b/>
                <w:sz w:val="24"/>
                <w:szCs w:val="24"/>
              </w:rPr>
            </w:pPr>
            <w:r>
              <w:rPr>
                <w:b/>
                <w:sz w:val="24"/>
                <w:szCs w:val="24"/>
              </w:rPr>
              <w:t>(in crore Rs.)</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Volume of Net NPAs as on 31 March, 2017</w:t>
            </w:r>
          </w:p>
          <w:p w:rsidR="00615570" w:rsidRDefault="00615570" w:rsidP="003A1983">
            <w:pPr>
              <w:jc w:val="center"/>
              <w:rPr>
                <w:b/>
                <w:sz w:val="24"/>
                <w:szCs w:val="24"/>
              </w:rPr>
            </w:pPr>
            <w:r>
              <w:rPr>
                <w:b/>
                <w:sz w:val="24"/>
                <w:szCs w:val="24"/>
              </w:rPr>
              <w:t>(in crore Rs.)</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%age change in the volume of Net NPAs between 2016-2017</w:t>
            </w:r>
          </w:p>
          <w:p w:rsidR="00615570" w:rsidRDefault="00615570" w:rsidP="00615570">
            <w:pPr>
              <w:jc w:val="center"/>
              <w:rPr>
                <w:b/>
                <w:sz w:val="24"/>
                <w:szCs w:val="24"/>
              </w:rPr>
            </w:pPr>
            <w:r>
              <w:rPr>
                <w:b/>
                <w:sz w:val="24"/>
                <w:szCs w:val="24"/>
              </w:rPr>
              <w:t>(+ = increase</w:t>
            </w:r>
          </w:p>
          <w:p w:rsidR="00615570" w:rsidRDefault="00615570" w:rsidP="00615570">
            <w:pPr>
              <w:jc w:val="center"/>
              <w:rPr>
                <w:b/>
                <w:sz w:val="24"/>
                <w:szCs w:val="24"/>
              </w:rPr>
            </w:pPr>
            <w:r>
              <w:rPr>
                <w:b/>
                <w:sz w:val="24"/>
                <w:szCs w:val="24"/>
              </w:rPr>
              <w:t>- = decrease)</w:t>
            </w:r>
          </w:p>
        </w:tc>
      </w:tr>
      <w:tr w:rsidR="00615570" w:rsidTr="00B55E02">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rPr>
                <w:sz w:val="24"/>
                <w:szCs w:val="24"/>
              </w:rPr>
            </w:pPr>
            <w:r>
              <w:rPr>
                <w:sz w:val="24"/>
                <w:szCs w:val="24"/>
              </w:rPr>
              <w:t>10.</w:t>
            </w:r>
          </w:p>
        </w:tc>
        <w:tc>
          <w:tcPr>
            <w:tcW w:w="2179" w:type="dxa"/>
            <w:tcBorders>
              <w:top w:val="single" w:sz="4" w:space="0" w:color="000000"/>
              <w:left w:val="single" w:sz="4" w:space="0" w:color="000000"/>
              <w:bottom w:val="single" w:sz="4" w:space="0" w:color="000000"/>
              <w:right w:val="single" w:sz="4" w:space="0" w:color="000000"/>
            </w:tcBorders>
            <w:hideMark/>
          </w:tcPr>
          <w:p w:rsidR="00615570" w:rsidRDefault="00615570" w:rsidP="00615570">
            <w:pPr>
              <w:rPr>
                <w:b/>
                <w:sz w:val="24"/>
                <w:szCs w:val="24"/>
              </w:rPr>
            </w:pPr>
            <w:r>
              <w:rPr>
                <w:b/>
                <w:sz w:val="24"/>
                <w:szCs w:val="24"/>
              </w:rPr>
              <w:t>IDBI Bank Ltd.</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43 + 861</w:t>
            </w:r>
          </w:p>
          <w:p w:rsidR="00615570" w:rsidRPr="00205D47" w:rsidRDefault="00615570" w:rsidP="003A1983">
            <w:pPr>
              <w:spacing w:after="240" w:line="240" w:lineRule="auto"/>
              <w:jc w:val="right"/>
              <w:rPr>
                <w:sz w:val="24"/>
                <w:szCs w:val="24"/>
              </w:rPr>
            </w:pPr>
            <w:r>
              <w:rPr>
                <w:sz w:val="24"/>
                <w:szCs w:val="24"/>
              </w:rPr>
              <w:t>=</w:t>
            </w:r>
            <w:r w:rsidRPr="00B03432">
              <w:rPr>
                <w:b/>
                <w:sz w:val="24"/>
                <w:szCs w:val="24"/>
              </w:rPr>
              <w:t>904</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37 + 1,230</w:t>
            </w:r>
          </w:p>
          <w:p w:rsidR="00615570" w:rsidRDefault="00615570" w:rsidP="00615570">
            <w:pPr>
              <w:spacing w:after="0" w:line="240" w:lineRule="auto"/>
              <w:jc w:val="right"/>
              <w:rPr>
                <w:sz w:val="24"/>
                <w:szCs w:val="24"/>
              </w:rPr>
            </w:pPr>
            <w:r>
              <w:rPr>
                <w:sz w:val="24"/>
                <w:szCs w:val="24"/>
              </w:rPr>
              <w:t>=</w:t>
            </w:r>
            <w:r>
              <w:rPr>
                <w:b/>
                <w:sz w:val="24"/>
                <w:szCs w:val="24"/>
              </w:rPr>
              <w:t>1,267</w:t>
            </w:r>
          </w:p>
        </w:tc>
        <w:tc>
          <w:tcPr>
            <w:tcW w:w="1620" w:type="dxa"/>
            <w:tcBorders>
              <w:top w:val="single" w:sz="4" w:space="0" w:color="000000"/>
              <w:left w:val="single" w:sz="4" w:space="0" w:color="000000"/>
              <w:bottom w:val="single" w:sz="4" w:space="0" w:color="000000"/>
              <w:right w:val="single" w:sz="4" w:space="0" w:color="000000"/>
            </w:tcBorders>
          </w:tcPr>
          <w:p w:rsidR="00615570" w:rsidRDefault="00F1209A" w:rsidP="00F1209A">
            <w:pPr>
              <w:jc w:val="right"/>
              <w:rPr>
                <w:sz w:val="24"/>
                <w:szCs w:val="24"/>
              </w:rPr>
            </w:pPr>
            <w:r>
              <w:rPr>
                <w:sz w:val="24"/>
                <w:szCs w:val="24"/>
              </w:rPr>
              <w:t>+42</w:t>
            </w:r>
            <w:r w:rsidR="00615570">
              <w:rPr>
                <w:sz w:val="24"/>
                <w:szCs w:val="24"/>
              </w:rPr>
              <w:t>.</w:t>
            </w:r>
            <w:r>
              <w:rPr>
                <w:sz w:val="24"/>
                <w:szCs w:val="24"/>
              </w:rPr>
              <w:t>8</w:t>
            </w:r>
            <w:r w:rsidR="00615570">
              <w:rPr>
                <w:sz w:val="24"/>
                <w:szCs w:val="24"/>
              </w:rPr>
              <w:t>5%</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51 + 1,250</w:t>
            </w:r>
          </w:p>
          <w:p w:rsidR="00615570" w:rsidRPr="00205D47" w:rsidRDefault="00615570" w:rsidP="00615570">
            <w:pPr>
              <w:spacing w:after="0" w:line="240" w:lineRule="auto"/>
              <w:jc w:val="right"/>
              <w:rPr>
                <w:sz w:val="24"/>
                <w:szCs w:val="24"/>
              </w:rPr>
            </w:pPr>
            <w:r>
              <w:rPr>
                <w:sz w:val="24"/>
                <w:szCs w:val="24"/>
              </w:rPr>
              <w:t>=</w:t>
            </w:r>
            <w:r w:rsidRPr="00502CF0">
              <w:rPr>
                <w:b/>
                <w:sz w:val="24"/>
                <w:szCs w:val="24"/>
              </w:rPr>
              <w:t>1,301</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+1.63%</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24%</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27.2%</w:t>
            </w:r>
          </w:p>
        </w:tc>
        <w:tc>
          <w:tcPr>
            <w:tcW w:w="1350" w:type="dxa"/>
            <w:tcBorders>
              <w:top w:val="single" w:sz="4" w:space="0" w:color="000000"/>
              <w:left w:val="single" w:sz="4" w:space="0" w:color="000000"/>
              <w:bottom w:val="single" w:sz="4" w:space="0" w:color="000000"/>
              <w:right w:val="single" w:sz="4" w:space="0" w:color="000000"/>
            </w:tcBorders>
          </w:tcPr>
          <w:p w:rsidR="00615570" w:rsidRPr="00205D47" w:rsidRDefault="00615570" w:rsidP="00615570">
            <w:pPr>
              <w:spacing w:after="0" w:line="240" w:lineRule="auto"/>
              <w:jc w:val="right"/>
              <w:rPr>
                <w:sz w:val="24"/>
                <w:szCs w:val="24"/>
              </w:rPr>
            </w:pPr>
            <w:r>
              <w:rPr>
                <w:sz w:val="24"/>
                <w:szCs w:val="24"/>
              </w:rPr>
              <w:t>31%</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2,098</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0.60</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14,643.40</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95"/>
              <w:jc w:val="right"/>
              <w:rPr>
                <w:rFonts w:cs="Calibri"/>
                <w:color w:val="000000"/>
                <w:sz w:val="24"/>
                <w:szCs w:val="24"/>
              </w:rPr>
            </w:pPr>
            <w:r>
              <w:rPr>
                <w:rFonts w:cs="Calibri"/>
                <w:color w:val="000000"/>
                <w:sz w:val="24"/>
                <w:szCs w:val="24"/>
              </w:rPr>
              <w:t>25,205.80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+72.13%</w:t>
            </w:r>
          </w:p>
        </w:tc>
      </w:tr>
      <w:tr w:rsidR="00615570" w:rsidTr="00B55E02">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rPr>
                <w:sz w:val="24"/>
                <w:szCs w:val="24"/>
              </w:rPr>
            </w:pPr>
            <w:r>
              <w:rPr>
                <w:sz w:val="24"/>
                <w:szCs w:val="24"/>
              </w:rPr>
              <w:t>11.</w:t>
            </w:r>
          </w:p>
        </w:tc>
        <w:tc>
          <w:tcPr>
            <w:tcW w:w="2179" w:type="dxa"/>
            <w:tcBorders>
              <w:top w:val="single" w:sz="4" w:space="0" w:color="000000"/>
              <w:left w:val="single" w:sz="4" w:space="0" w:color="000000"/>
              <w:bottom w:val="single" w:sz="4" w:space="0" w:color="000000"/>
              <w:right w:val="single" w:sz="4" w:space="0" w:color="000000"/>
            </w:tcBorders>
            <w:hideMark/>
          </w:tcPr>
          <w:p w:rsidR="00615570" w:rsidRDefault="00615570" w:rsidP="00615570">
            <w:pPr>
              <w:rPr>
                <w:b/>
                <w:sz w:val="24"/>
                <w:szCs w:val="24"/>
              </w:rPr>
            </w:pPr>
            <w:r>
              <w:rPr>
                <w:b/>
                <w:sz w:val="24"/>
                <w:szCs w:val="24"/>
              </w:rPr>
              <w:t>Indian Bank</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77 + 2,162</w:t>
            </w:r>
          </w:p>
          <w:p w:rsidR="00615570" w:rsidRPr="00205D47" w:rsidRDefault="00615570" w:rsidP="00615570">
            <w:pPr>
              <w:spacing w:after="120" w:line="240" w:lineRule="auto"/>
              <w:jc w:val="right"/>
              <w:rPr>
                <w:sz w:val="24"/>
                <w:szCs w:val="24"/>
              </w:rPr>
            </w:pPr>
            <w:r>
              <w:rPr>
                <w:sz w:val="24"/>
                <w:szCs w:val="24"/>
              </w:rPr>
              <w:t>=</w:t>
            </w:r>
            <w:r w:rsidRPr="00B03432">
              <w:rPr>
                <w:b/>
                <w:sz w:val="24"/>
                <w:szCs w:val="24"/>
              </w:rPr>
              <w:t>2,240</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66 + 2,456</w:t>
            </w:r>
          </w:p>
          <w:p w:rsidR="00615570" w:rsidRDefault="00615570" w:rsidP="00615570">
            <w:pPr>
              <w:spacing w:after="0" w:line="240" w:lineRule="auto"/>
              <w:jc w:val="right"/>
              <w:rPr>
                <w:sz w:val="24"/>
                <w:szCs w:val="24"/>
              </w:rPr>
            </w:pPr>
            <w:r>
              <w:rPr>
                <w:sz w:val="24"/>
                <w:szCs w:val="24"/>
              </w:rPr>
              <w:t>=</w:t>
            </w:r>
            <w:r>
              <w:rPr>
                <w:b/>
                <w:sz w:val="24"/>
                <w:szCs w:val="24"/>
              </w:rPr>
              <w:t>2,522</w:t>
            </w:r>
          </w:p>
        </w:tc>
        <w:tc>
          <w:tcPr>
            <w:tcW w:w="1620" w:type="dxa"/>
            <w:tcBorders>
              <w:top w:val="single" w:sz="4" w:space="0" w:color="000000"/>
              <w:left w:val="single" w:sz="4" w:space="0" w:color="000000"/>
              <w:bottom w:val="single" w:sz="4" w:space="0" w:color="000000"/>
              <w:right w:val="single" w:sz="4" w:space="0" w:color="000000"/>
            </w:tcBorders>
          </w:tcPr>
          <w:p w:rsidR="00615570" w:rsidRDefault="00F1209A" w:rsidP="00F1209A">
            <w:pPr>
              <w:jc w:val="right"/>
              <w:rPr>
                <w:sz w:val="24"/>
                <w:szCs w:val="24"/>
              </w:rPr>
            </w:pPr>
            <w:r>
              <w:rPr>
                <w:sz w:val="24"/>
                <w:szCs w:val="24"/>
              </w:rPr>
              <w:t>+13</w:t>
            </w:r>
            <w:r w:rsidR="00615570">
              <w:rPr>
                <w:sz w:val="24"/>
                <w:szCs w:val="24"/>
              </w:rPr>
              <w:t>.</w:t>
            </w:r>
            <w:r>
              <w:rPr>
                <w:sz w:val="24"/>
                <w:szCs w:val="24"/>
              </w:rPr>
              <w:t>60</w:t>
            </w:r>
            <w:r w:rsidR="00615570">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81 + 2,644</w:t>
            </w:r>
          </w:p>
          <w:p w:rsidR="00615570" w:rsidRPr="007B3C22" w:rsidRDefault="00615570" w:rsidP="00615570">
            <w:pPr>
              <w:spacing w:after="0" w:line="240" w:lineRule="auto"/>
              <w:jc w:val="right"/>
              <w:rPr>
                <w:sz w:val="24"/>
                <w:szCs w:val="24"/>
              </w:rPr>
            </w:pPr>
            <w:r>
              <w:rPr>
                <w:sz w:val="24"/>
                <w:szCs w:val="24"/>
              </w:rPr>
              <w:t>=</w:t>
            </w:r>
            <w:r w:rsidRPr="00502CF0">
              <w:rPr>
                <w:b/>
                <w:sz w:val="24"/>
                <w:szCs w:val="24"/>
              </w:rPr>
              <w:t>2,725</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+7.65%</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11.9%</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9.8%</w:t>
            </w:r>
          </w:p>
        </w:tc>
        <w:tc>
          <w:tcPr>
            <w:tcW w:w="1350" w:type="dxa"/>
            <w:tcBorders>
              <w:top w:val="single" w:sz="4" w:space="0" w:color="000000"/>
              <w:left w:val="single" w:sz="4" w:space="0" w:color="000000"/>
              <w:bottom w:val="single" w:sz="4" w:space="0" w:color="000000"/>
              <w:right w:val="single" w:sz="4" w:space="0" w:color="000000"/>
            </w:tcBorders>
          </w:tcPr>
          <w:p w:rsidR="00615570" w:rsidRPr="00205D47" w:rsidRDefault="00615570" w:rsidP="00615570">
            <w:pPr>
              <w:spacing w:after="0" w:line="240" w:lineRule="auto"/>
              <w:jc w:val="right"/>
              <w:rPr>
                <w:sz w:val="24"/>
                <w:szCs w:val="24"/>
              </w:rPr>
            </w:pPr>
            <w:r>
              <w:rPr>
                <w:sz w:val="24"/>
                <w:szCs w:val="24"/>
              </w:rPr>
              <w:t>11.7%</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2,724</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0.97</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5,419.40</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5"/>
              <w:jc w:val="right"/>
              <w:rPr>
                <w:rFonts w:cs="Calibri"/>
                <w:color w:val="000000"/>
                <w:sz w:val="24"/>
                <w:szCs w:val="24"/>
              </w:rPr>
            </w:pPr>
            <w:r>
              <w:rPr>
                <w:rFonts w:cs="Calibri"/>
                <w:color w:val="000000"/>
                <w:sz w:val="24"/>
                <w:szCs w:val="24"/>
              </w:rPr>
              <w:t>5,606.60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+3.45%</w:t>
            </w:r>
          </w:p>
        </w:tc>
      </w:tr>
      <w:tr w:rsidR="00615570" w:rsidTr="00B55E02">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rPr>
                <w:sz w:val="24"/>
                <w:szCs w:val="24"/>
              </w:rPr>
            </w:pPr>
            <w:r>
              <w:rPr>
                <w:sz w:val="24"/>
                <w:szCs w:val="24"/>
              </w:rPr>
              <w:t>12.</w:t>
            </w:r>
          </w:p>
        </w:tc>
        <w:tc>
          <w:tcPr>
            <w:tcW w:w="2179" w:type="dxa"/>
            <w:tcBorders>
              <w:top w:val="single" w:sz="4" w:space="0" w:color="000000"/>
              <w:left w:val="single" w:sz="4" w:space="0" w:color="000000"/>
              <w:bottom w:val="single" w:sz="4" w:space="0" w:color="000000"/>
              <w:right w:val="single" w:sz="4" w:space="0" w:color="000000"/>
            </w:tcBorders>
            <w:hideMark/>
          </w:tcPr>
          <w:p w:rsidR="00615570" w:rsidRDefault="00615570" w:rsidP="00615570">
            <w:pPr>
              <w:rPr>
                <w:b/>
                <w:sz w:val="24"/>
                <w:szCs w:val="24"/>
              </w:rPr>
            </w:pPr>
            <w:r>
              <w:rPr>
                <w:b/>
                <w:sz w:val="24"/>
                <w:szCs w:val="24"/>
              </w:rPr>
              <w:t>Indian Overseas Bank</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24 + 1,866</w:t>
            </w:r>
          </w:p>
          <w:p w:rsidR="00615570" w:rsidRDefault="00615570" w:rsidP="00615570">
            <w:pPr>
              <w:jc w:val="right"/>
              <w:rPr>
                <w:sz w:val="24"/>
                <w:szCs w:val="24"/>
              </w:rPr>
            </w:pPr>
            <w:r>
              <w:rPr>
                <w:sz w:val="24"/>
                <w:szCs w:val="24"/>
              </w:rPr>
              <w:t>=</w:t>
            </w:r>
            <w:r w:rsidRPr="00203F2B">
              <w:rPr>
                <w:b/>
                <w:sz w:val="24"/>
                <w:szCs w:val="24"/>
              </w:rPr>
              <w:t>1,890</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43 + 1,822</w:t>
            </w:r>
          </w:p>
          <w:p w:rsidR="00615570" w:rsidRDefault="00615570" w:rsidP="00615570">
            <w:pPr>
              <w:spacing w:after="0" w:line="240" w:lineRule="auto"/>
              <w:jc w:val="right"/>
              <w:rPr>
                <w:sz w:val="24"/>
                <w:szCs w:val="24"/>
              </w:rPr>
            </w:pPr>
            <w:r>
              <w:rPr>
                <w:sz w:val="24"/>
                <w:szCs w:val="24"/>
              </w:rPr>
              <w:t>=</w:t>
            </w:r>
            <w:r>
              <w:rPr>
                <w:b/>
                <w:sz w:val="24"/>
                <w:szCs w:val="24"/>
              </w:rPr>
              <w:t>1,865</w:t>
            </w:r>
          </w:p>
        </w:tc>
        <w:tc>
          <w:tcPr>
            <w:tcW w:w="1620" w:type="dxa"/>
            <w:tcBorders>
              <w:top w:val="single" w:sz="4" w:space="0" w:color="000000"/>
              <w:left w:val="single" w:sz="4" w:space="0" w:color="000000"/>
              <w:bottom w:val="single" w:sz="4" w:space="0" w:color="000000"/>
              <w:right w:val="single" w:sz="4" w:space="0" w:color="000000"/>
            </w:tcBorders>
          </w:tcPr>
          <w:p w:rsidR="00615570" w:rsidRDefault="00F1209A" w:rsidP="00F1209A">
            <w:pPr>
              <w:jc w:val="right"/>
              <w:rPr>
                <w:sz w:val="24"/>
                <w:szCs w:val="24"/>
              </w:rPr>
            </w:pPr>
            <w:r>
              <w:rPr>
                <w:sz w:val="24"/>
                <w:szCs w:val="24"/>
              </w:rPr>
              <w:t>-2</w:t>
            </w:r>
            <w:r w:rsidR="00615570">
              <w:rPr>
                <w:sz w:val="24"/>
                <w:szCs w:val="24"/>
              </w:rPr>
              <w:t>.3</w:t>
            </w:r>
            <w:r>
              <w:rPr>
                <w:sz w:val="24"/>
                <w:szCs w:val="24"/>
              </w:rPr>
              <w:t>5</w:t>
            </w:r>
            <w:r w:rsidR="00615570">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46 + 1,926</w:t>
            </w:r>
          </w:p>
          <w:p w:rsidR="00615570" w:rsidRDefault="00615570" w:rsidP="00615570">
            <w:pPr>
              <w:jc w:val="right"/>
              <w:rPr>
                <w:sz w:val="24"/>
                <w:szCs w:val="24"/>
              </w:rPr>
            </w:pPr>
            <w:r>
              <w:rPr>
                <w:sz w:val="24"/>
                <w:szCs w:val="24"/>
              </w:rPr>
              <w:t>=</w:t>
            </w:r>
            <w:r w:rsidRPr="00502CF0">
              <w:rPr>
                <w:b/>
                <w:sz w:val="24"/>
                <w:szCs w:val="24"/>
              </w:rPr>
              <w:t>1,972</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+5.71%</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38.6%</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43.9%</w:t>
            </w:r>
          </w:p>
        </w:tc>
        <w:tc>
          <w:tcPr>
            <w:tcW w:w="135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35.3%</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3,481</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0.55</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19,212.60</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5"/>
              <w:jc w:val="right"/>
              <w:rPr>
                <w:rFonts w:cs="Calibri"/>
                <w:color w:val="000000"/>
                <w:sz w:val="24"/>
                <w:szCs w:val="24"/>
              </w:rPr>
            </w:pPr>
            <w:r>
              <w:rPr>
                <w:rFonts w:cs="Calibri"/>
                <w:color w:val="000000"/>
                <w:sz w:val="24"/>
                <w:szCs w:val="24"/>
              </w:rPr>
              <w:t>19,749.30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+2.79%</w:t>
            </w:r>
          </w:p>
        </w:tc>
      </w:tr>
      <w:tr w:rsidR="00615570" w:rsidTr="00B55E02">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rPr>
                <w:sz w:val="24"/>
                <w:szCs w:val="24"/>
              </w:rPr>
            </w:pPr>
            <w:r>
              <w:rPr>
                <w:sz w:val="24"/>
                <w:szCs w:val="24"/>
              </w:rPr>
              <w:t>13.</w:t>
            </w:r>
          </w:p>
        </w:tc>
        <w:tc>
          <w:tcPr>
            <w:tcW w:w="2179" w:type="dxa"/>
            <w:tcBorders>
              <w:top w:val="single" w:sz="4" w:space="0" w:color="000000"/>
              <w:left w:val="single" w:sz="4" w:space="0" w:color="000000"/>
              <w:bottom w:val="single" w:sz="4" w:space="0" w:color="000000"/>
              <w:right w:val="single" w:sz="4" w:space="0" w:color="000000"/>
            </w:tcBorders>
          </w:tcPr>
          <w:p w:rsidR="00615570" w:rsidRDefault="00615570" w:rsidP="00615570">
            <w:pPr>
              <w:rPr>
                <w:b/>
                <w:sz w:val="24"/>
                <w:szCs w:val="24"/>
              </w:rPr>
            </w:pPr>
            <w:r>
              <w:rPr>
                <w:b/>
                <w:sz w:val="24"/>
                <w:szCs w:val="24"/>
              </w:rPr>
              <w:t>Oriental Bank of Commerce</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0 + 1,975</w:t>
            </w:r>
          </w:p>
          <w:p w:rsidR="00615570" w:rsidRPr="00205D47" w:rsidRDefault="00615570" w:rsidP="00615570">
            <w:pPr>
              <w:spacing w:after="0" w:line="240" w:lineRule="auto"/>
              <w:jc w:val="right"/>
              <w:rPr>
                <w:sz w:val="24"/>
                <w:szCs w:val="24"/>
              </w:rPr>
            </w:pPr>
            <w:r>
              <w:rPr>
                <w:sz w:val="24"/>
                <w:szCs w:val="24"/>
              </w:rPr>
              <w:t xml:space="preserve">= </w:t>
            </w:r>
            <w:r w:rsidRPr="00EE4DB2">
              <w:rPr>
                <w:b/>
                <w:sz w:val="24"/>
                <w:szCs w:val="24"/>
              </w:rPr>
              <w:t>1,975</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0 + 2,026</w:t>
            </w:r>
          </w:p>
          <w:p w:rsidR="00615570" w:rsidRDefault="00615570" w:rsidP="00615570">
            <w:pPr>
              <w:spacing w:after="0" w:line="240" w:lineRule="auto"/>
              <w:jc w:val="right"/>
              <w:rPr>
                <w:sz w:val="24"/>
                <w:szCs w:val="24"/>
              </w:rPr>
            </w:pPr>
            <w:r>
              <w:rPr>
                <w:sz w:val="24"/>
                <w:szCs w:val="24"/>
              </w:rPr>
              <w:t>=</w:t>
            </w:r>
            <w:r w:rsidRPr="00EE4DB2">
              <w:rPr>
                <w:b/>
                <w:sz w:val="24"/>
                <w:szCs w:val="24"/>
              </w:rPr>
              <w:t>2,026</w:t>
            </w:r>
          </w:p>
        </w:tc>
        <w:tc>
          <w:tcPr>
            <w:tcW w:w="1620" w:type="dxa"/>
            <w:tcBorders>
              <w:top w:val="single" w:sz="4" w:space="0" w:color="000000"/>
              <w:left w:val="single" w:sz="4" w:space="0" w:color="000000"/>
              <w:bottom w:val="single" w:sz="4" w:space="0" w:color="000000"/>
              <w:right w:val="single" w:sz="4" w:space="0" w:color="000000"/>
            </w:tcBorders>
          </w:tcPr>
          <w:p w:rsidR="00615570" w:rsidRDefault="00F1209A" w:rsidP="00615570">
            <w:pPr>
              <w:jc w:val="right"/>
              <w:rPr>
                <w:sz w:val="24"/>
                <w:szCs w:val="24"/>
              </w:rPr>
            </w:pPr>
            <w:r>
              <w:rPr>
                <w:sz w:val="24"/>
                <w:szCs w:val="24"/>
              </w:rPr>
              <w:t>+2.58%</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575 + 1,285</w:t>
            </w:r>
          </w:p>
          <w:p w:rsidR="00615570" w:rsidRPr="007B3C22" w:rsidRDefault="00615570" w:rsidP="00615570">
            <w:pPr>
              <w:spacing w:after="0" w:line="240" w:lineRule="auto"/>
              <w:jc w:val="right"/>
              <w:rPr>
                <w:sz w:val="24"/>
                <w:szCs w:val="24"/>
              </w:rPr>
            </w:pPr>
            <w:r>
              <w:rPr>
                <w:sz w:val="24"/>
                <w:szCs w:val="24"/>
              </w:rPr>
              <w:t>=</w:t>
            </w:r>
            <w:r w:rsidRPr="00EE4DB2">
              <w:rPr>
                <w:b/>
                <w:sz w:val="24"/>
                <w:szCs w:val="24"/>
              </w:rPr>
              <w:t>1,860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-36.57%</w:t>
            </w:r>
          </w:p>
        </w:tc>
        <w:tc>
          <w:tcPr>
            <w:tcW w:w="1147" w:type="dxa"/>
            <w:tcBorders>
              <w:top w:val="single" w:sz="4" w:space="0" w:color="000000"/>
              <w:left w:val="single" w:sz="4" w:space="0" w:color="000000"/>
              <w:bottom w:val="single" w:sz="4" w:space="0" w:color="000000"/>
              <w:right w:val="single" w:sz="4" w:space="0" w:color="000000"/>
            </w:tcBorders>
          </w:tcPr>
          <w:p w:rsidR="00615570" w:rsidRPr="00205D47" w:rsidRDefault="00615570" w:rsidP="00615570">
            <w:pPr>
              <w:spacing w:after="0" w:line="240" w:lineRule="auto"/>
              <w:jc w:val="right"/>
              <w:rPr>
                <w:sz w:val="24"/>
                <w:szCs w:val="24"/>
              </w:rPr>
            </w:pPr>
            <w:r>
              <w:rPr>
                <w:sz w:val="24"/>
                <w:szCs w:val="24"/>
              </w:rPr>
              <w:t>34.2%</w:t>
            </w:r>
          </w:p>
        </w:tc>
        <w:tc>
          <w:tcPr>
            <w:tcW w:w="1237" w:type="dxa"/>
            <w:tcBorders>
              <w:top w:val="single" w:sz="4" w:space="0" w:color="000000"/>
              <w:left w:val="single" w:sz="4" w:space="0" w:color="000000"/>
              <w:bottom w:val="single" w:sz="4" w:space="0" w:color="000000"/>
              <w:right w:val="single" w:sz="4" w:space="0" w:color="000000"/>
            </w:tcBorders>
          </w:tcPr>
          <w:p w:rsidR="00615570" w:rsidRPr="007B3C22" w:rsidRDefault="00615570" w:rsidP="00615570">
            <w:pPr>
              <w:spacing w:after="0" w:line="240" w:lineRule="auto"/>
              <w:jc w:val="right"/>
              <w:rPr>
                <w:sz w:val="24"/>
                <w:szCs w:val="24"/>
              </w:rPr>
            </w:pPr>
            <w:r>
              <w:rPr>
                <w:sz w:val="24"/>
                <w:szCs w:val="24"/>
              </w:rPr>
              <w:t>32.2%</w:t>
            </w:r>
          </w:p>
        </w:tc>
        <w:tc>
          <w:tcPr>
            <w:tcW w:w="1350" w:type="dxa"/>
            <w:tcBorders>
              <w:top w:val="single" w:sz="4" w:space="0" w:color="000000"/>
              <w:left w:val="single" w:sz="4" w:space="0" w:color="000000"/>
              <w:bottom w:val="single" w:sz="4" w:space="0" w:color="000000"/>
              <w:right w:val="single" w:sz="4" w:space="0" w:color="000000"/>
            </w:tcBorders>
          </w:tcPr>
          <w:p w:rsidR="00615570" w:rsidRPr="00205D47" w:rsidRDefault="00615570" w:rsidP="00615570">
            <w:pPr>
              <w:spacing w:after="0" w:line="240" w:lineRule="auto"/>
              <w:jc w:val="right"/>
              <w:rPr>
                <w:sz w:val="24"/>
                <w:szCs w:val="24"/>
              </w:rPr>
            </w:pPr>
            <w:r>
              <w:rPr>
                <w:sz w:val="24"/>
                <w:szCs w:val="24"/>
              </w:rPr>
              <w:t>50%</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2,906</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0.44</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9,932.20</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5"/>
              <w:jc w:val="right"/>
              <w:rPr>
                <w:rFonts w:cs="Calibri"/>
                <w:color w:val="000000"/>
                <w:sz w:val="24"/>
                <w:szCs w:val="24"/>
              </w:rPr>
            </w:pPr>
            <w:r>
              <w:rPr>
                <w:rFonts w:cs="Calibri"/>
                <w:color w:val="000000"/>
                <w:sz w:val="24"/>
                <w:szCs w:val="24"/>
              </w:rPr>
              <w:t>14,117.80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+42.14%</w:t>
            </w:r>
          </w:p>
        </w:tc>
      </w:tr>
      <w:tr w:rsidR="00615570" w:rsidTr="00B55E02">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rPr>
                <w:sz w:val="24"/>
                <w:szCs w:val="24"/>
              </w:rPr>
            </w:pPr>
            <w:r>
              <w:rPr>
                <w:sz w:val="24"/>
                <w:szCs w:val="24"/>
              </w:rPr>
              <w:t>14.</w:t>
            </w:r>
          </w:p>
        </w:tc>
        <w:tc>
          <w:tcPr>
            <w:tcW w:w="2179" w:type="dxa"/>
            <w:tcBorders>
              <w:top w:val="single" w:sz="4" w:space="0" w:color="000000"/>
              <w:left w:val="single" w:sz="4" w:space="0" w:color="000000"/>
              <w:bottom w:val="single" w:sz="4" w:space="0" w:color="000000"/>
              <w:right w:val="single" w:sz="4" w:space="0" w:color="000000"/>
            </w:tcBorders>
          </w:tcPr>
          <w:p w:rsidR="00615570" w:rsidRDefault="00615570" w:rsidP="00615570">
            <w:pPr>
              <w:rPr>
                <w:b/>
                <w:sz w:val="24"/>
                <w:szCs w:val="24"/>
              </w:rPr>
            </w:pPr>
            <w:r>
              <w:rPr>
                <w:b/>
                <w:sz w:val="24"/>
                <w:szCs w:val="24"/>
              </w:rPr>
              <w:t>Punjab and Sind Bank</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27 + 1,226</w:t>
            </w:r>
          </w:p>
          <w:p w:rsidR="00615570" w:rsidRPr="00205D47" w:rsidRDefault="00615570" w:rsidP="003A1983">
            <w:pPr>
              <w:spacing w:after="240" w:line="240" w:lineRule="auto"/>
              <w:jc w:val="right"/>
              <w:rPr>
                <w:sz w:val="24"/>
                <w:szCs w:val="24"/>
              </w:rPr>
            </w:pPr>
            <w:r>
              <w:rPr>
                <w:sz w:val="24"/>
                <w:szCs w:val="24"/>
              </w:rPr>
              <w:t>=</w:t>
            </w:r>
            <w:r w:rsidRPr="00203F2B">
              <w:rPr>
                <w:b/>
                <w:sz w:val="24"/>
                <w:szCs w:val="24"/>
              </w:rPr>
              <w:t>1,253</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51 + 1,199</w:t>
            </w:r>
          </w:p>
          <w:p w:rsidR="00615570" w:rsidRDefault="00615570" w:rsidP="00615570">
            <w:pPr>
              <w:spacing w:after="0" w:line="240" w:lineRule="auto"/>
              <w:jc w:val="right"/>
              <w:rPr>
                <w:sz w:val="24"/>
                <w:szCs w:val="24"/>
              </w:rPr>
            </w:pPr>
            <w:r>
              <w:rPr>
                <w:sz w:val="24"/>
                <w:szCs w:val="24"/>
              </w:rPr>
              <w:t xml:space="preserve"> =</w:t>
            </w:r>
            <w:r>
              <w:rPr>
                <w:b/>
                <w:sz w:val="24"/>
                <w:szCs w:val="24"/>
              </w:rPr>
              <w:t>1,250</w:t>
            </w:r>
          </w:p>
        </w:tc>
        <w:tc>
          <w:tcPr>
            <w:tcW w:w="1620" w:type="dxa"/>
            <w:tcBorders>
              <w:top w:val="single" w:sz="4" w:space="0" w:color="000000"/>
              <w:left w:val="single" w:sz="4" w:space="0" w:color="000000"/>
              <w:bottom w:val="single" w:sz="4" w:space="0" w:color="000000"/>
              <w:right w:val="single" w:sz="4" w:space="0" w:color="000000"/>
            </w:tcBorders>
          </w:tcPr>
          <w:p w:rsidR="00615570" w:rsidRDefault="00F1209A" w:rsidP="00F1209A">
            <w:pPr>
              <w:jc w:val="right"/>
              <w:rPr>
                <w:sz w:val="24"/>
                <w:szCs w:val="24"/>
              </w:rPr>
            </w:pPr>
            <w:r>
              <w:rPr>
                <w:sz w:val="24"/>
                <w:szCs w:val="24"/>
              </w:rPr>
              <w:t>-2.20</w:t>
            </w:r>
            <w:r w:rsidR="00615570">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32 + 1,058</w:t>
            </w:r>
          </w:p>
          <w:p w:rsidR="00615570" w:rsidRPr="007B3C22" w:rsidRDefault="00615570" w:rsidP="00615570">
            <w:pPr>
              <w:spacing w:after="0" w:line="240" w:lineRule="auto"/>
              <w:jc w:val="right"/>
              <w:rPr>
                <w:sz w:val="24"/>
                <w:szCs w:val="24"/>
              </w:rPr>
            </w:pPr>
            <w:r>
              <w:rPr>
                <w:sz w:val="24"/>
                <w:szCs w:val="24"/>
              </w:rPr>
              <w:t>=</w:t>
            </w:r>
            <w:r w:rsidRPr="00502CF0">
              <w:rPr>
                <w:b/>
                <w:sz w:val="24"/>
                <w:szCs w:val="24"/>
              </w:rPr>
              <w:t>1,090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-11.76%</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26.8%</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20%</w:t>
            </w:r>
          </w:p>
        </w:tc>
        <w:tc>
          <w:tcPr>
            <w:tcW w:w="1350" w:type="dxa"/>
            <w:tcBorders>
              <w:top w:val="single" w:sz="4" w:space="0" w:color="000000"/>
              <w:left w:val="single" w:sz="4" w:space="0" w:color="000000"/>
              <w:bottom w:val="single" w:sz="4" w:space="0" w:color="000000"/>
              <w:right w:val="single" w:sz="4" w:space="0" w:color="000000"/>
            </w:tcBorders>
          </w:tcPr>
          <w:p w:rsidR="00615570" w:rsidRPr="00205D47" w:rsidRDefault="00615570" w:rsidP="00615570">
            <w:pPr>
              <w:spacing w:after="0" w:line="240" w:lineRule="auto"/>
              <w:jc w:val="right"/>
              <w:rPr>
                <w:sz w:val="24"/>
                <w:szCs w:val="24"/>
              </w:rPr>
            </w:pPr>
            <w:r>
              <w:rPr>
                <w:sz w:val="24"/>
                <w:szCs w:val="24"/>
              </w:rPr>
              <w:t>30.2%</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1,544</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0.69</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2,949.50</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5"/>
              <w:jc w:val="right"/>
              <w:rPr>
                <w:rFonts w:cs="Calibri"/>
                <w:color w:val="000000"/>
                <w:sz w:val="24"/>
                <w:szCs w:val="24"/>
              </w:rPr>
            </w:pPr>
            <w:r>
              <w:rPr>
                <w:rFonts w:cs="Calibri"/>
                <w:color w:val="000000"/>
                <w:sz w:val="24"/>
                <w:szCs w:val="24"/>
              </w:rPr>
              <w:t>4,375.10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+48.33%</w:t>
            </w:r>
          </w:p>
        </w:tc>
      </w:tr>
      <w:tr w:rsidR="00615570" w:rsidTr="00B55E02">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rPr>
                <w:sz w:val="24"/>
                <w:szCs w:val="24"/>
              </w:rPr>
            </w:pPr>
            <w:r>
              <w:rPr>
                <w:sz w:val="24"/>
                <w:szCs w:val="24"/>
              </w:rPr>
              <w:t>15.</w:t>
            </w:r>
          </w:p>
        </w:tc>
        <w:tc>
          <w:tcPr>
            <w:tcW w:w="2179" w:type="dxa"/>
            <w:tcBorders>
              <w:top w:val="single" w:sz="4" w:space="0" w:color="000000"/>
              <w:left w:val="single" w:sz="4" w:space="0" w:color="000000"/>
              <w:bottom w:val="single" w:sz="4" w:space="0" w:color="000000"/>
              <w:right w:val="single" w:sz="4" w:space="0" w:color="000000"/>
            </w:tcBorders>
            <w:hideMark/>
          </w:tcPr>
          <w:p w:rsidR="00615570" w:rsidRDefault="00615570" w:rsidP="00615570">
            <w:pPr>
              <w:rPr>
                <w:b/>
                <w:sz w:val="24"/>
                <w:szCs w:val="24"/>
              </w:rPr>
            </w:pPr>
            <w:r>
              <w:rPr>
                <w:b/>
                <w:sz w:val="24"/>
                <w:szCs w:val="24"/>
              </w:rPr>
              <w:t>Punjab National Bank</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216 + 7,563</w:t>
            </w:r>
          </w:p>
          <w:p w:rsidR="00615570" w:rsidRPr="00205D47" w:rsidRDefault="00615570" w:rsidP="003A1983">
            <w:pPr>
              <w:spacing w:after="240" w:line="240" w:lineRule="auto"/>
              <w:jc w:val="right"/>
              <w:rPr>
                <w:sz w:val="24"/>
                <w:szCs w:val="24"/>
              </w:rPr>
            </w:pPr>
            <w:r>
              <w:rPr>
                <w:sz w:val="24"/>
                <w:szCs w:val="24"/>
              </w:rPr>
              <w:t>=</w:t>
            </w:r>
            <w:r w:rsidRPr="00695CE9">
              <w:rPr>
                <w:b/>
                <w:sz w:val="24"/>
                <w:szCs w:val="24"/>
              </w:rPr>
              <w:t>7,779</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224 + 8,181</w:t>
            </w:r>
          </w:p>
          <w:p w:rsidR="00615570" w:rsidRDefault="00615570" w:rsidP="00615570">
            <w:pPr>
              <w:spacing w:after="0" w:line="240" w:lineRule="auto"/>
              <w:jc w:val="right"/>
              <w:rPr>
                <w:sz w:val="24"/>
                <w:szCs w:val="24"/>
              </w:rPr>
            </w:pPr>
            <w:r>
              <w:rPr>
                <w:sz w:val="24"/>
                <w:szCs w:val="24"/>
              </w:rPr>
              <w:t>=</w:t>
            </w:r>
            <w:r>
              <w:rPr>
                <w:b/>
                <w:sz w:val="24"/>
                <w:szCs w:val="24"/>
              </w:rPr>
              <w:t>8,405</w:t>
            </w:r>
          </w:p>
        </w:tc>
        <w:tc>
          <w:tcPr>
            <w:tcW w:w="1620" w:type="dxa"/>
            <w:tcBorders>
              <w:top w:val="single" w:sz="4" w:space="0" w:color="000000"/>
              <w:left w:val="single" w:sz="4" w:space="0" w:color="000000"/>
              <w:bottom w:val="single" w:sz="4" w:space="0" w:color="000000"/>
              <w:right w:val="single" w:sz="4" w:space="0" w:color="000000"/>
            </w:tcBorders>
          </w:tcPr>
          <w:p w:rsidR="00615570" w:rsidRDefault="00F1209A" w:rsidP="00615570">
            <w:pPr>
              <w:jc w:val="right"/>
              <w:rPr>
                <w:sz w:val="24"/>
                <w:szCs w:val="24"/>
              </w:rPr>
            </w:pPr>
            <w:r>
              <w:rPr>
                <w:sz w:val="24"/>
                <w:szCs w:val="24"/>
              </w:rPr>
              <w:t>+8.17</w:t>
            </w:r>
            <w:r w:rsidR="00615570">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238 + 7,715</w:t>
            </w:r>
          </w:p>
          <w:p w:rsidR="00615570" w:rsidRPr="00205D47" w:rsidRDefault="00615570" w:rsidP="00615570">
            <w:pPr>
              <w:spacing w:after="0" w:line="240" w:lineRule="auto"/>
              <w:jc w:val="right"/>
              <w:rPr>
                <w:sz w:val="24"/>
                <w:szCs w:val="24"/>
              </w:rPr>
            </w:pPr>
            <w:r>
              <w:rPr>
                <w:sz w:val="24"/>
                <w:szCs w:val="24"/>
              </w:rPr>
              <w:t>=</w:t>
            </w:r>
            <w:r w:rsidRPr="00502CF0">
              <w:rPr>
                <w:b/>
                <w:sz w:val="24"/>
                <w:szCs w:val="24"/>
              </w:rPr>
              <w:t>7,953</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-5.70%</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28%</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30.2%</w:t>
            </w:r>
          </w:p>
        </w:tc>
        <w:tc>
          <w:tcPr>
            <w:tcW w:w="1350" w:type="dxa"/>
            <w:tcBorders>
              <w:top w:val="single" w:sz="4" w:space="0" w:color="000000"/>
              <w:left w:val="single" w:sz="4" w:space="0" w:color="000000"/>
              <w:bottom w:val="single" w:sz="4" w:space="0" w:color="000000"/>
              <w:right w:val="single" w:sz="4" w:space="0" w:color="000000"/>
            </w:tcBorders>
          </w:tcPr>
          <w:p w:rsidR="00615570" w:rsidRPr="00205D47" w:rsidRDefault="00615570" w:rsidP="00615570">
            <w:pPr>
              <w:spacing w:after="0" w:line="240" w:lineRule="auto"/>
              <w:jc w:val="right"/>
              <w:rPr>
                <w:sz w:val="24"/>
                <w:szCs w:val="24"/>
              </w:rPr>
            </w:pPr>
            <w:r>
              <w:rPr>
                <w:sz w:val="24"/>
                <w:szCs w:val="24"/>
              </w:rPr>
              <w:t>29.4%</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7,029</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1.10</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35,422.60</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5"/>
              <w:jc w:val="right"/>
              <w:rPr>
                <w:rFonts w:cs="Calibri"/>
                <w:color w:val="000000"/>
                <w:sz w:val="24"/>
                <w:szCs w:val="24"/>
              </w:rPr>
            </w:pPr>
            <w:r>
              <w:rPr>
                <w:rFonts w:cs="Calibri"/>
                <w:color w:val="000000"/>
                <w:sz w:val="24"/>
                <w:szCs w:val="24"/>
              </w:rPr>
              <w:t>32,702.10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-7.68%</w:t>
            </w:r>
          </w:p>
        </w:tc>
      </w:tr>
      <w:tr w:rsidR="00615570" w:rsidTr="00B55E02">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rPr>
                <w:sz w:val="24"/>
                <w:szCs w:val="24"/>
              </w:rPr>
            </w:pPr>
            <w:r>
              <w:rPr>
                <w:sz w:val="24"/>
                <w:szCs w:val="24"/>
              </w:rPr>
              <w:t>16.</w:t>
            </w:r>
          </w:p>
        </w:tc>
        <w:tc>
          <w:tcPr>
            <w:tcW w:w="2179" w:type="dxa"/>
            <w:tcBorders>
              <w:top w:val="single" w:sz="4" w:space="0" w:color="000000"/>
              <w:left w:val="single" w:sz="4" w:space="0" w:color="000000"/>
              <w:bottom w:val="single" w:sz="4" w:space="0" w:color="000000"/>
              <w:right w:val="single" w:sz="4" w:space="0" w:color="000000"/>
            </w:tcBorders>
            <w:hideMark/>
          </w:tcPr>
          <w:p w:rsidR="00615570" w:rsidRDefault="00615570" w:rsidP="00615570">
            <w:pPr>
              <w:rPr>
                <w:b/>
                <w:sz w:val="24"/>
                <w:szCs w:val="24"/>
              </w:rPr>
            </w:pPr>
            <w:r>
              <w:rPr>
                <w:b/>
                <w:sz w:val="24"/>
                <w:szCs w:val="24"/>
              </w:rPr>
              <w:t>State Bank of Bikaner &amp; Jaipur</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21 + 1,667</w:t>
            </w:r>
          </w:p>
          <w:p w:rsidR="00615570" w:rsidRPr="00205D47" w:rsidRDefault="00615570" w:rsidP="00615570">
            <w:pPr>
              <w:spacing w:after="0" w:line="240" w:lineRule="auto"/>
              <w:jc w:val="right"/>
              <w:rPr>
                <w:sz w:val="24"/>
                <w:szCs w:val="24"/>
              </w:rPr>
            </w:pPr>
            <w:r>
              <w:rPr>
                <w:sz w:val="24"/>
                <w:szCs w:val="24"/>
              </w:rPr>
              <w:t>=</w:t>
            </w:r>
            <w:r w:rsidRPr="00355F67">
              <w:rPr>
                <w:b/>
                <w:sz w:val="24"/>
                <w:szCs w:val="24"/>
              </w:rPr>
              <w:t>1,688</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35 + 1,753</w:t>
            </w:r>
          </w:p>
          <w:p w:rsidR="00615570" w:rsidRDefault="00615570" w:rsidP="00615570">
            <w:pPr>
              <w:spacing w:after="0" w:line="240" w:lineRule="auto"/>
              <w:jc w:val="right"/>
              <w:rPr>
                <w:sz w:val="24"/>
                <w:szCs w:val="24"/>
              </w:rPr>
            </w:pPr>
            <w:r>
              <w:rPr>
                <w:sz w:val="24"/>
                <w:szCs w:val="24"/>
              </w:rPr>
              <w:t>=</w:t>
            </w:r>
            <w:r>
              <w:rPr>
                <w:b/>
                <w:sz w:val="24"/>
                <w:szCs w:val="24"/>
              </w:rPr>
              <w:t>1,788</w:t>
            </w:r>
          </w:p>
        </w:tc>
        <w:tc>
          <w:tcPr>
            <w:tcW w:w="1620" w:type="dxa"/>
            <w:tcBorders>
              <w:top w:val="single" w:sz="4" w:space="0" w:color="000000"/>
              <w:left w:val="single" w:sz="4" w:space="0" w:color="000000"/>
              <w:bottom w:val="single" w:sz="4" w:space="0" w:color="000000"/>
              <w:right w:val="single" w:sz="4" w:space="0" w:color="000000"/>
            </w:tcBorders>
          </w:tcPr>
          <w:p w:rsidR="00615570" w:rsidRDefault="00F1209A" w:rsidP="00615570">
            <w:pPr>
              <w:jc w:val="right"/>
              <w:rPr>
                <w:sz w:val="24"/>
                <w:szCs w:val="24"/>
              </w:rPr>
            </w:pPr>
            <w:r>
              <w:rPr>
                <w:sz w:val="24"/>
                <w:szCs w:val="24"/>
              </w:rPr>
              <w:t>+5.16</w:t>
            </w:r>
            <w:r w:rsidR="00615570">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40 + 1,808</w:t>
            </w:r>
          </w:p>
          <w:p w:rsidR="00615570" w:rsidRPr="00205D47" w:rsidRDefault="00615570" w:rsidP="00615570">
            <w:pPr>
              <w:spacing w:after="0" w:line="240" w:lineRule="auto"/>
              <w:jc w:val="right"/>
              <w:rPr>
                <w:sz w:val="24"/>
                <w:szCs w:val="24"/>
              </w:rPr>
            </w:pPr>
            <w:r>
              <w:rPr>
                <w:sz w:val="24"/>
                <w:szCs w:val="24"/>
              </w:rPr>
              <w:t>=</w:t>
            </w:r>
            <w:r w:rsidRPr="00502CF0">
              <w:rPr>
                <w:b/>
                <w:sz w:val="24"/>
                <w:szCs w:val="24"/>
              </w:rPr>
              <w:t>1,848</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+3.14%</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22.6%</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28.7%</w:t>
            </w:r>
          </w:p>
        </w:tc>
        <w:tc>
          <w:tcPr>
            <w:tcW w:w="1350" w:type="dxa"/>
            <w:tcBorders>
              <w:top w:val="single" w:sz="4" w:space="0" w:color="000000"/>
              <w:left w:val="single" w:sz="4" w:space="0" w:color="000000"/>
              <w:bottom w:val="single" w:sz="4" w:space="0" w:color="000000"/>
              <w:right w:val="single" w:sz="4" w:space="0" w:color="000000"/>
            </w:tcBorders>
          </w:tcPr>
          <w:p w:rsidR="00615570" w:rsidRPr="00205D47" w:rsidRDefault="00615570" w:rsidP="00615570">
            <w:pPr>
              <w:spacing w:after="0" w:line="240" w:lineRule="auto"/>
              <w:jc w:val="right"/>
              <w:rPr>
                <w:sz w:val="24"/>
                <w:szCs w:val="24"/>
              </w:rPr>
            </w:pPr>
            <w:r>
              <w:rPr>
                <w:sz w:val="24"/>
                <w:szCs w:val="24"/>
              </w:rPr>
              <w:t>31.6%</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1,445</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1.25</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2,005.20</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5"/>
              <w:jc w:val="right"/>
              <w:rPr>
                <w:rFonts w:cs="Calibri"/>
                <w:color w:val="000000"/>
                <w:sz w:val="24"/>
                <w:szCs w:val="24"/>
              </w:rPr>
            </w:pPr>
            <w:r>
              <w:rPr>
                <w:rFonts w:cs="Calibri"/>
                <w:color w:val="000000"/>
                <w:sz w:val="24"/>
                <w:szCs w:val="24"/>
              </w:rPr>
              <w:t>6,829.70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+240.60%</w:t>
            </w:r>
          </w:p>
        </w:tc>
      </w:tr>
      <w:tr w:rsidR="00615570" w:rsidTr="00B55E02">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rPr>
                <w:sz w:val="24"/>
                <w:szCs w:val="24"/>
              </w:rPr>
            </w:pPr>
            <w:r>
              <w:rPr>
                <w:sz w:val="24"/>
                <w:szCs w:val="24"/>
              </w:rPr>
              <w:t>17.</w:t>
            </w:r>
          </w:p>
        </w:tc>
        <w:tc>
          <w:tcPr>
            <w:tcW w:w="2179" w:type="dxa"/>
            <w:tcBorders>
              <w:top w:val="single" w:sz="4" w:space="0" w:color="000000"/>
              <w:left w:val="single" w:sz="4" w:space="0" w:color="000000"/>
              <w:bottom w:val="single" w:sz="4" w:space="0" w:color="000000"/>
              <w:right w:val="single" w:sz="4" w:space="0" w:color="000000"/>
            </w:tcBorders>
            <w:hideMark/>
          </w:tcPr>
          <w:p w:rsidR="00615570" w:rsidRDefault="00615570" w:rsidP="00615570">
            <w:pPr>
              <w:rPr>
                <w:b/>
                <w:sz w:val="24"/>
                <w:szCs w:val="24"/>
              </w:rPr>
            </w:pPr>
            <w:r>
              <w:rPr>
                <w:b/>
                <w:sz w:val="24"/>
                <w:szCs w:val="24"/>
              </w:rPr>
              <w:t>State Bank of Hyderabad</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0 + 943</w:t>
            </w:r>
          </w:p>
          <w:p w:rsidR="00615570" w:rsidRPr="00205D47" w:rsidRDefault="00615570" w:rsidP="00615570">
            <w:pPr>
              <w:spacing w:after="0" w:line="240" w:lineRule="auto"/>
              <w:jc w:val="right"/>
              <w:rPr>
                <w:sz w:val="24"/>
                <w:szCs w:val="24"/>
              </w:rPr>
            </w:pPr>
            <w:r>
              <w:rPr>
                <w:sz w:val="24"/>
                <w:szCs w:val="24"/>
              </w:rPr>
              <w:t>=</w:t>
            </w:r>
            <w:r w:rsidRPr="00B83790">
              <w:rPr>
                <w:b/>
                <w:sz w:val="24"/>
                <w:szCs w:val="24"/>
              </w:rPr>
              <w:t>943</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0 + 877</w:t>
            </w:r>
          </w:p>
          <w:p w:rsidR="00615570" w:rsidRDefault="00615570" w:rsidP="00615570">
            <w:pPr>
              <w:spacing w:after="0" w:line="240" w:lineRule="auto"/>
              <w:jc w:val="right"/>
              <w:rPr>
                <w:b/>
                <w:sz w:val="24"/>
                <w:szCs w:val="24"/>
              </w:rPr>
            </w:pPr>
            <w:r>
              <w:rPr>
                <w:sz w:val="24"/>
                <w:szCs w:val="24"/>
              </w:rPr>
              <w:t xml:space="preserve">= </w:t>
            </w:r>
            <w:r>
              <w:rPr>
                <w:b/>
                <w:sz w:val="24"/>
                <w:szCs w:val="24"/>
              </w:rPr>
              <w:t>877</w:t>
            </w:r>
          </w:p>
        </w:tc>
        <w:tc>
          <w:tcPr>
            <w:tcW w:w="1620" w:type="dxa"/>
            <w:tcBorders>
              <w:top w:val="single" w:sz="4" w:space="0" w:color="000000"/>
              <w:left w:val="single" w:sz="4" w:space="0" w:color="000000"/>
              <w:bottom w:val="single" w:sz="4" w:space="0" w:color="000000"/>
              <w:right w:val="single" w:sz="4" w:space="0" w:color="000000"/>
            </w:tcBorders>
          </w:tcPr>
          <w:p w:rsidR="00615570" w:rsidRDefault="00F1209A" w:rsidP="00615570">
            <w:pPr>
              <w:jc w:val="right"/>
              <w:rPr>
                <w:sz w:val="24"/>
                <w:szCs w:val="24"/>
              </w:rPr>
            </w:pPr>
            <w:r>
              <w:rPr>
                <w:sz w:val="24"/>
                <w:szCs w:val="24"/>
              </w:rPr>
              <w:t>-7</w:t>
            </w:r>
            <w:r w:rsidR="00615570">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310 + 420</w:t>
            </w:r>
          </w:p>
          <w:p w:rsidR="00615570" w:rsidRPr="00205D47" w:rsidRDefault="00615570" w:rsidP="00615570">
            <w:pPr>
              <w:spacing w:after="0" w:line="240" w:lineRule="auto"/>
              <w:jc w:val="right"/>
              <w:rPr>
                <w:sz w:val="24"/>
                <w:szCs w:val="24"/>
              </w:rPr>
            </w:pPr>
            <w:r>
              <w:rPr>
                <w:sz w:val="24"/>
                <w:szCs w:val="24"/>
              </w:rPr>
              <w:t>=</w:t>
            </w:r>
            <w:r w:rsidRPr="00502CF0">
              <w:rPr>
                <w:b/>
                <w:sz w:val="24"/>
                <w:szCs w:val="24"/>
              </w:rPr>
              <w:t>730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-52.11%</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32.8%</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51.9%</w:t>
            </w:r>
          </w:p>
        </w:tc>
        <w:tc>
          <w:tcPr>
            <w:tcW w:w="1350" w:type="dxa"/>
            <w:tcBorders>
              <w:top w:val="single" w:sz="4" w:space="0" w:color="000000"/>
              <w:left w:val="single" w:sz="4" w:space="0" w:color="000000"/>
              <w:bottom w:val="single" w:sz="4" w:space="0" w:color="000000"/>
              <w:right w:val="single" w:sz="4" w:space="0" w:color="000000"/>
            </w:tcBorders>
          </w:tcPr>
          <w:p w:rsidR="00615570" w:rsidRPr="00205D47" w:rsidRDefault="00615570" w:rsidP="00615570">
            <w:pPr>
              <w:spacing w:after="0" w:line="240" w:lineRule="auto"/>
              <w:jc w:val="right"/>
              <w:rPr>
                <w:sz w:val="24"/>
                <w:szCs w:val="24"/>
              </w:rPr>
            </w:pPr>
            <w:r>
              <w:rPr>
                <w:sz w:val="24"/>
                <w:szCs w:val="24"/>
              </w:rPr>
              <w:t>71%</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2,071</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0.2</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3,743.20</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5"/>
              <w:jc w:val="right"/>
              <w:rPr>
                <w:rFonts w:cs="Calibri"/>
                <w:color w:val="000000"/>
                <w:sz w:val="24"/>
                <w:szCs w:val="24"/>
              </w:rPr>
            </w:pPr>
            <w:r>
              <w:rPr>
                <w:rFonts w:cs="Calibri"/>
                <w:color w:val="000000"/>
                <w:sz w:val="24"/>
                <w:szCs w:val="24"/>
              </w:rPr>
              <w:t>10,193.80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+172.33%</w:t>
            </w:r>
          </w:p>
        </w:tc>
      </w:tr>
      <w:tr w:rsidR="00615570" w:rsidTr="00B55E02">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rPr>
                <w:sz w:val="24"/>
                <w:szCs w:val="24"/>
              </w:rPr>
            </w:pPr>
            <w:r>
              <w:rPr>
                <w:sz w:val="24"/>
                <w:szCs w:val="24"/>
              </w:rPr>
              <w:t>18.</w:t>
            </w:r>
          </w:p>
        </w:tc>
        <w:tc>
          <w:tcPr>
            <w:tcW w:w="2179" w:type="dxa"/>
            <w:tcBorders>
              <w:top w:val="single" w:sz="4" w:space="0" w:color="000000"/>
              <w:left w:val="single" w:sz="4" w:space="0" w:color="000000"/>
              <w:bottom w:val="single" w:sz="4" w:space="0" w:color="000000"/>
              <w:right w:val="single" w:sz="4" w:space="0" w:color="000000"/>
            </w:tcBorders>
            <w:hideMark/>
          </w:tcPr>
          <w:p w:rsidR="00615570" w:rsidRDefault="00615570" w:rsidP="00615570">
            <w:pPr>
              <w:rPr>
                <w:b/>
                <w:sz w:val="24"/>
                <w:szCs w:val="24"/>
              </w:rPr>
            </w:pPr>
            <w:r>
              <w:rPr>
                <w:b/>
                <w:sz w:val="24"/>
                <w:szCs w:val="24"/>
              </w:rPr>
              <w:t>State Bank of India</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171 + 24,612</w:t>
            </w:r>
          </w:p>
          <w:p w:rsidR="00615570" w:rsidRPr="00205D47" w:rsidRDefault="00615570" w:rsidP="003A1983">
            <w:pPr>
              <w:spacing w:after="240" w:line="240" w:lineRule="auto"/>
              <w:jc w:val="right"/>
              <w:rPr>
                <w:sz w:val="24"/>
                <w:szCs w:val="24"/>
              </w:rPr>
            </w:pPr>
            <w:r>
              <w:rPr>
                <w:sz w:val="24"/>
                <w:szCs w:val="24"/>
              </w:rPr>
              <w:t>=</w:t>
            </w:r>
            <w:r w:rsidRPr="00E4193B">
              <w:rPr>
                <w:b/>
                <w:sz w:val="24"/>
                <w:szCs w:val="24"/>
              </w:rPr>
              <w:t>24,783</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 xml:space="preserve">102 + 25,345 = </w:t>
            </w:r>
            <w:r>
              <w:rPr>
                <w:b/>
                <w:sz w:val="24"/>
                <w:szCs w:val="24"/>
              </w:rPr>
              <w:t>25,447</w:t>
            </w:r>
          </w:p>
        </w:tc>
        <w:tc>
          <w:tcPr>
            <w:tcW w:w="1620" w:type="dxa"/>
            <w:tcBorders>
              <w:top w:val="single" w:sz="4" w:space="0" w:color="000000"/>
              <w:left w:val="single" w:sz="4" w:space="0" w:color="000000"/>
              <w:bottom w:val="single" w:sz="4" w:space="0" w:color="000000"/>
              <w:right w:val="single" w:sz="4" w:space="0" w:color="000000"/>
            </w:tcBorders>
          </w:tcPr>
          <w:p w:rsidR="00615570" w:rsidRDefault="00F1209A" w:rsidP="00F1209A">
            <w:pPr>
              <w:jc w:val="right"/>
              <w:rPr>
                <w:sz w:val="24"/>
                <w:szCs w:val="24"/>
              </w:rPr>
            </w:pPr>
            <w:r>
              <w:rPr>
                <w:sz w:val="24"/>
                <w:szCs w:val="24"/>
              </w:rPr>
              <w:t>+2.98</w:t>
            </w:r>
            <w:r w:rsidR="00615570">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243 + 25,320</w:t>
            </w:r>
          </w:p>
          <w:p w:rsidR="00615570" w:rsidRPr="00205D47" w:rsidRDefault="00615570" w:rsidP="00615570">
            <w:pPr>
              <w:spacing w:after="0" w:line="240" w:lineRule="auto"/>
              <w:jc w:val="right"/>
              <w:rPr>
                <w:sz w:val="24"/>
                <w:szCs w:val="24"/>
              </w:rPr>
            </w:pPr>
            <w:r>
              <w:rPr>
                <w:sz w:val="24"/>
                <w:szCs w:val="24"/>
              </w:rPr>
              <w:t>=</w:t>
            </w:r>
            <w:r w:rsidRPr="00502CF0">
              <w:rPr>
                <w:b/>
                <w:sz w:val="24"/>
                <w:szCs w:val="24"/>
              </w:rPr>
              <w:t>25,563</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-0.10%</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20%</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18.4%</w:t>
            </w:r>
          </w:p>
        </w:tc>
        <w:tc>
          <w:tcPr>
            <w:tcW w:w="1350" w:type="dxa"/>
            <w:tcBorders>
              <w:top w:val="single" w:sz="4" w:space="0" w:color="000000"/>
              <w:left w:val="single" w:sz="4" w:space="0" w:color="000000"/>
              <w:bottom w:val="single" w:sz="4" w:space="0" w:color="000000"/>
              <w:right w:val="single" w:sz="4" w:space="0" w:color="000000"/>
            </w:tcBorders>
          </w:tcPr>
          <w:p w:rsidR="00615570" w:rsidRPr="00205D47" w:rsidRDefault="00615570" w:rsidP="00615570">
            <w:pPr>
              <w:spacing w:after="0" w:line="240" w:lineRule="auto"/>
              <w:jc w:val="right"/>
              <w:rPr>
                <w:sz w:val="24"/>
                <w:szCs w:val="24"/>
              </w:rPr>
            </w:pPr>
            <w:r>
              <w:rPr>
                <w:sz w:val="24"/>
                <w:szCs w:val="24"/>
              </w:rPr>
              <w:t>17.2%</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18,245</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1.39</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380"/>
              <w:jc w:val="right"/>
              <w:rPr>
                <w:rFonts w:cs="Calibri"/>
                <w:color w:val="000000"/>
                <w:sz w:val="24"/>
                <w:szCs w:val="24"/>
              </w:rPr>
            </w:pPr>
            <w:r>
              <w:rPr>
                <w:rFonts w:cs="Calibri"/>
                <w:color w:val="000000"/>
                <w:sz w:val="24"/>
                <w:szCs w:val="24"/>
              </w:rPr>
              <w:t>55,807.00</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5"/>
              <w:jc w:val="right"/>
              <w:rPr>
                <w:rFonts w:cs="Calibri"/>
                <w:color w:val="000000"/>
                <w:sz w:val="24"/>
                <w:szCs w:val="24"/>
              </w:rPr>
            </w:pPr>
            <w:r>
              <w:rPr>
                <w:rFonts w:cs="Calibri"/>
                <w:color w:val="000000"/>
                <w:sz w:val="24"/>
                <w:szCs w:val="24"/>
              </w:rPr>
              <w:t>58,277.40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380"/>
              <w:jc w:val="right"/>
              <w:rPr>
                <w:rFonts w:cs="Calibri"/>
                <w:color w:val="000000"/>
                <w:sz w:val="24"/>
                <w:szCs w:val="24"/>
              </w:rPr>
            </w:pPr>
            <w:r>
              <w:rPr>
                <w:rFonts w:cs="Calibri"/>
                <w:color w:val="000000"/>
                <w:sz w:val="24"/>
                <w:szCs w:val="24"/>
              </w:rPr>
              <w:t>+4.43%</w:t>
            </w:r>
          </w:p>
        </w:tc>
      </w:tr>
      <w:tr w:rsidR="00615570" w:rsidTr="00B55E02">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rPr>
                <w:sz w:val="24"/>
                <w:szCs w:val="24"/>
              </w:rPr>
            </w:pPr>
            <w:r>
              <w:rPr>
                <w:sz w:val="24"/>
                <w:szCs w:val="24"/>
              </w:rPr>
              <w:t>19.</w:t>
            </w:r>
          </w:p>
        </w:tc>
        <w:tc>
          <w:tcPr>
            <w:tcW w:w="2179" w:type="dxa"/>
            <w:tcBorders>
              <w:top w:val="single" w:sz="4" w:space="0" w:color="000000"/>
              <w:left w:val="single" w:sz="4" w:space="0" w:color="000000"/>
              <w:bottom w:val="single" w:sz="4" w:space="0" w:color="000000"/>
              <w:right w:val="single" w:sz="4" w:space="0" w:color="000000"/>
            </w:tcBorders>
            <w:hideMark/>
          </w:tcPr>
          <w:p w:rsidR="00615570" w:rsidRDefault="00615570" w:rsidP="00615570">
            <w:pPr>
              <w:rPr>
                <w:b/>
                <w:sz w:val="24"/>
                <w:szCs w:val="24"/>
              </w:rPr>
            </w:pPr>
            <w:r>
              <w:rPr>
                <w:b/>
                <w:sz w:val="24"/>
                <w:szCs w:val="24"/>
              </w:rPr>
              <w:t>State Bank of Mysore</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0 + 682</w:t>
            </w:r>
          </w:p>
          <w:p w:rsidR="00615570" w:rsidRPr="00205D47" w:rsidRDefault="00615570" w:rsidP="003A1983">
            <w:pPr>
              <w:spacing w:after="240" w:line="240" w:lineRule="auto"/>
              <w:jc w:val="right"/>
              <w:rPr>
                <w:sz w:val="24"/>
                <w:szCs w:val="24"/>
              </w:rPr>
            </w:pPr>
            <w:r>
              <w:rPr>
                <w:sz w:val="24"/>
                <w:szCs w:val="24"/>
              </w:rPr>
              <w:lastRenderedPageBreak/>
              <w:t>=</w:t>
            </w:r>
            <w:r w:rsidRPr="006F7DB1">
              <w:rPr>
                <w:b/>
                <w:sz w:val="24"/>
                <w:szCs w:val="24"/>
              </w:rPr>
              <w:t>682</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lastRenderedPageBreak/>
              <w:t>0 + 608</w:t>
            </w:r>
          </w:p>
          <w:p w:rsidR="00615570" w:rsidRDefault="00615570" w:rsidP="00615570">
            <w:pPr>
              <w:spacing w:after="0" w:line="240" w:lineRule="auto"/>
              <w:jc w:val="right"/>
              <w:rPr>
                <w:b/>
                <w:sz w:val="24"/>
                <w:szCs w:val="24"/>
              </w:rPr>
            </w:pPr>
            <w:r>
              <w:rPr>
                <w:sz w:val="24"/>
                <w:szCs w:val="24"/>
              </w:rPr>
              <w:t>=</w:t>
            </w:r>
            <w:r>
              <w:rPr>
                <w:b/>
                <w:sz w:val="24"/>
                <w:szCs w:val="24"/>
              </w:rPr>
              <w:t>608</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-10.85%</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0 + 528</w:t>
            </w:r>
          </w:p>
          <w:p w:rsidR="00615570" w:rsidRPr="00205D47" w:rsidRDefault="00615570" w:rsidP="00615570">
            <w:pPr>
              <w:spacing w:after="0" w:line="240" w:lineRule="auto"/>
              <w:jc w:val="right"/>
              <w:rPr>
                <w:sz w:val="24"/>
                <w:szCs w:val="24"/>
              </w:rPr>
            </w:pPr>
            <w:r>
              <w:rPr>
                <w:sz w:val="24"/>
                <w:szCs w:val="24"/>
              </w:rPr>
              <w:t>=</w:t>
            </w:r>
            <w:r w:rsidRPr="00502CF0">
              <w:rPr>
                <w:b/>
                <w:sz w:val="24"/>
                <w:szCs w:val="24"/>
              </w:rPr>
              <w:t>528</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-13.16%</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26.1%</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36.3%</w:t>
            </w:r>
          </w:p>
        </w:tc>
        <w:tc>
          <w:tcPr>
            <w:tcW w:w="1350" w:type="dxa"/>
            <w:tcBorders>
              <w:top w:val="single" w:sz="4" w:space="0" w:color="000000"/>
              <w:left w:val="single" w:sz="4" w:space="0" w:color="000000"/>
              <w:bottom w:val="single" w:sz="4" w:space="0" w:color="000000"/>
              <w:right w:val="single" w:sz="4" w:space="0" w:color="000000"/>
            </w:tcBorders>
          </w:tcPr>
          <w:p w:rsidR="00615570" w:rsidRPr="00205D47" w:rsidRDefault="00615570" w:rsidP="00615570">
            <w:pPr>
              <w:spacing w:after="0" w:line="240" w:lineRule="auto"/>
              <w:jc w:val="right"/>
              <w:rPr>
                <w:sz w:val="24"/>
                <w:szCs w:val="24"/>
              </w:rPr>
            </w:pPr>
            <w:r>
              <w:rPr>
                <w:sz w:val="24"/>
                <w:szCs w:val="24"/>
              </w:rPr>
              <w:t>34.1%</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1,157</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0.46</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2,257.20</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5,824.30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+158.03%</w:t>
            </w:r>
          </w:p>
        </w:tc>
      </w:tr>
      <w:tr w:rsidR="00615570" w:rsidTr="00B55E02">
        <w:tc>
          <w:tcPr>
            <w:tcW w:w="21397" w:type="dxa"/>
            <w:gridSpan w:val="15"/>
            <w:tcBorders>
              <w:top w:val="single" w:sz="4" w:space="0" w:color="000000"/>
              <w:left w:val="single" w:sz="4" w:space="0" w:color="000000"/>
              <w:bottom w:val="single" w:sz="4" w:space="0" w:color="000000"/>
              <w:right w:val="single" w:sz="4" w:space="0" w:color="000000"/>
            </w:tcBorders>
          </w:tcPr>
          <w:p w:rsidR="00F10C64" w:rsidRPr="00FA5443" w:rsidRDefault="00F10C64" w:rsidP="00F10C64">
            <w:pPr>
              <w:spacing w:after="120"/>
              <w:jc w:val="center"/>
              <w:rPr>
                <w:b/>
                <w:sz w:val="36"/>
                <w:szCs w:val="36"/>
              </w:rPr>
            </w:pPr>
            <w:r w:rsidRPr="00FA5443">
              <w:rPr>
                <w:b/>
                <w:sz w:val="36"/>
                <w:szCs w:val="36"/>
              </w:rPr>
              <w:t xml:space="preserve">Comparative </w:t>
            </w:r>
            <w:r>
              <w:rPr>
                <w:b/>
                <w:sz w:val="36"/>
                <w:szCs w:val="36"/>
              </w:rPr>
              <w:t>Table</w:t>
            </w:r>
            <w:r w:rsidRPr="00FA5443">
              <w:rPr>
                <w:b/>
                <w:sz w:val="36"/>
                <w:szCs w:val="36"/>
              </w:rPr>
              <w:t xml:space="preserve"> </w:t>
            </w:r>
            <w:r>
              <w:rPr>
                <w:b/>
                <w:sz w:val="36"/>
                <w:szCs w:val="36"/>
              </w:rPr>
              <w:t xml:space="preserve">of </w:t>
            </w:r>
            <w:r w:rsidRPr="00FA5443">
              <w:rPr>
                <w:b/>
                <w:sz w:val="36"/>
                <w:szCs w:val="36"/>
              </w:rPr>
              <w:t xml:space="preserve">RTI Statistics of 26 Public Sector Banks &amp; Reserve Bank of India </w:t>
            </w:r>
          </w:p>
          <w:p w:rsidR="00615570" w:rsidRDefault="00F10C64" w:rsidP="00F10C64">
            <w:pPr>
              <w:ind w:left="-250"/>
              <w:jc w:val="center"/>
              <w:rPr>
                <w:rFonts w:cs="Calibri"/>
                <w:color w:val="000000"/>
                <w:sz w:val="24"/>
                <w:szCs w:val="24"/>
              </w:rPr>
            </w:pPr>
            <w:r>
              <w:rPr>
                <w:b/>
                <w:sz w:val="28"/>
                <w:szCs w:val="28"/>
              </w:rPr>
              <w:t>(2014-2017)</w:t>
            </w:r>
          </w:p>
        </w:tc>
      </w:tr>
      <w:tr w:rsidR="00615570" w:rsidTr="00B55E02">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w:t>
            </w:r>
          </w:p>
        </w:tc>
        <w:tc>
          <w:tcPr>
            <w:tcW w:w="2179"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Name of the Bank</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 xml:space="preserve">Total No. </w:t>
            </w:r>
          </w:p>
          <w:p w:rsidR="00615570" w:rsidRDefault="00615570" w:rsidP="00615570">
            <w:pPr>
              <w:jc w:val="center"/>
              <w:rPr>
                <w:b/>
                <w:sz w:val="24"/>
                <w:szCs w:val="24"/>
              </w:rPr>
            </w:pPr>
            <w:r>
              <w:rPr>
                <w:b/>
                <w:sz w:val="24"/>
                <w:szCs w:val="24"/>
              </w:rPr>
              <w:t>of RTI applications in 2014-15</w:t>
            </w:r>
          </w:p>
          <w:p w:rsidR="00615570" w:rsidRDefault="00615570" w:rsidP="00615570">
            <w:pPr>
              <w:jc w:val="center"/>
              <w:rPr>
                <w:b/>
                <w:sz w:val="24"/>
                <w:szCs w:val="24"/>
              </w:rPr>
            </w:pPr>
            <w:r>
              <w:rPr>
                <w:i/>
                <w:sz w:val="24"/>
                <w:szCs w:val="24"/>
              </w:rPr>
              <w:t>(includes 2013-14 backlog, where reported)</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 xml:space="preserve">Total No. </w:t>
            </w:r>
          </w:p>
          <w:p w:rsidR="00615570" w:rsidRDefault="00615570" w:rsidP="00615570">
            <w:pPr>
              <w:jc w:val="center"/>
              <w:rPr>
                <w:b/>
                <w:sz w:val="24"/>
                <w:szCs w:val="24"/>
              </w:rPr>
            </w:pPr>
            <w:r>
              <w:rPr>
                <w:b/>
                <w:sz w:val="24"/>
                <w:szCs w:val="24"/>
              </w:rPr>
              <w:t>of RTI applications in 2015-16</w:t>
            </w:r>
          </w:p>
          <w:p w:rsidR="00615570" w:rsidRDefault="00615570" w:rsidP="00615570">
            <w:pPr>
              <w:jc w:val="center"/>
              <w:rPr>
                <w:b/>
                <w:sz w:val="24"/>
                <w:szCs w:val="24"/>
              </w:rPr>
            </w:pPr>
            <w:r>
              <w:rPr>
                <w:i/>
                <w:sz w:val="24"/>
                <w:szCs w:val="24"/>
              </w:rPr>
              <w:t>(backlog from 2014-15 + receipts in 2015-16 = total)</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 xml:space="preserve">%age change in the number of RTI applications </w:t>
            </w:r>
            <w:r w:rsidR="00322174">
              <w:rPr>
                <w:b/>
                <w:sz w:val="24"/>
                <w:szCs w:val="24"/>
              </w:rPr>
              <w:t>received</w:t>
            </w:r>
            <w:r>
              <w:rPr>
                <w:b/>
                <w:sz w:val="24"/>
                <w:szCs w:val="24"/>
              </w:rPr>
              <w:t xml:space="preserve"> between 2014-15 and 2015-16</w:t>
            </w:r>
          </w:p>
          <w:p w:rsidR="00615570" w:rsidRDefault="00615570" w:rsidP="00615570">
            <w:pPr>
              <w:jc w:val="center"/>
              <w:rPr>
                <w:b/>
                <w:sz w:val="24"/>
                <w:szCs w:val="24"/>
              </w:rPr>
            </w:pPr>
            <w:r>
              <w:rPr>
                <w:b/>
                <w:sz w:val="24"/>
                <w:szCs w:val="24"/>
              </w:rPr>
              <w:t>(+ = increase</w:t>
            </w:r>
          </w:p>
          <w:p w:rsidR="00615570" w:rsidRDefault="00615570" w:rsidP="00615570">
            <w:pPr>
              <w:jc w:val="center"/>
              <w:rPr>
                <w:b/>
                <w:sz w:val="24"/>
                <w:szCs w:val="24"/>
              </w:rPr>
            </w:pPr>
            <w:r>
              <w:rPr>
                <w:b/>
                <w:sz w:val="24"/>
                <w:szCs w:val="24"/>
              </w:rPr>
              <w:t>- = decrease)</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 xml:space="preserve">Total No. </w:t>
            </w:r>
          </w:p>
          <w:p w:rsidR="00615570" w:rsidRDefault="00615570" w:rsidP="00615570">
            <w:pPr>
              <w:jc w:val="center"/>
              <w:rPr>
                <w:b/>
                <w:sz w:val="24"/>
                <w:szCs w:val="24"/>
              </w:rPr>
            </w:pPr>
            <w:r>
              <w:rPr>
                <w:b/>
                <w:sz w:val="24"/>
                <w:szCs w:val="24"/>
              </w:rPr>
              <w:t>of RTI applications in 2016-17</w:t>
            </w:r>
          </w:p>
          <w:p w:rsidR="00615570" w:rsidRDefault="00615570" w:rsidP="00615570">
            <w:pPr>
              <w:jc w:val="center"/>
              <w:rPr>
                <w:b/>
                <w:sz w:val="24"/>
                <w:szCs w:val="24"/>
              </w:rPr>
            </w:pPr>
            <w:r>
              <w:rPr>
                <w:i/>
                <w:sz w:val="24"/>
                <w:szCs w:val="24"/>
              </w:rPr>
              <w:t>(backlog from 2015-16 + receipts in 2016-17 = total</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 xml:space="preserve">%age change in the number of RTI applica-tions </w:t>
            </w:r>
            <w:r w:rsidR="00322174">
              <w:rPr>
                <w:b/>
                <w:sz w:val="24"/>
                <w:szCs w:val="24"/>
              </w:rPr>
              <w:t>received</w:t>
            </w:r>
            <w:r>
              <w:rPr>
                <w:b/>
                <w:sz w:val="24"/>
                <w:szCs w:val="24"/>
              </w:rPr>
              <w:t xml:space="preserve"> between 2015-16 and 2016-17</w:t>
            </w:r>
          </w:p>
          <w:p w:rsidR="00615570" w:rsidRDefault="00615570" w:rsidP="00615570">
            <w:pPr>
              <w:jc w:val="center"/>
              <w:rPr>
                <w:b/>
                <w:sz w:val="24"/>
                <w:szCs w:val="24"/>
              </w:rPr>
            </w:pPr>
            <w:r>
              <w:rPr>
                <w:b/>
                <w:sz w:val="24"/>
                <w:szCs w:val="24"/>
              </w:rPr>
              <w:t>(+ = increase</w:t>
            </w:r>
          </w:p>
          <w:p w:rsidR="00615570" w:rsidRDefault="00615570" w:rsidP="00615570">
            <w:pPr>
              <w:jc w:val="center"/>
              <w:rPr>
                <w:b/>
                <w:sz w:val="24"/>
                <w:szCs w:val="24"/>
              </w:rPr>
            </w:pPr>
            <w:r>
              <w:rPr>
                <w:b/>
                <w:sz w:val="24"/>
                <w:szCs w:val="24"/>
              </w:rPr>
              <w:t>- = decrease)</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%age of RTI applicat</w:t>
            </w:r>
            <w:r w:rsidR="00B55E02">
              <w:rPr>
                <w:b/>
                <w:sz w:val="24"/>
                <w:szCs w:val="24"/>
              </w:rPr>
              <w:t>-</w:t>
            </w:r>
            <w:r>
              <w:rPr>
                <w:b/>
                <w:sz w:val="24"/>
                <w:szCs w:val="24"/>
              </w:rPr>
              <w:t xml:space="preserve">ions rejected by the Bank in </w:t>
            </w:r>
          </w:p>
          <w:p w:rsidR="00615570" w:rsidRDefault="00615570" w:rsidP="00615570">
            <w:pPr>
              <w:jc w:val="center"/>
              <w:rPr>
                <w:b/>
                <w:sz w:val="24"/>
                <w:szCs w:val="24"/>
              </w:rPr>
            </w:pPr>
            <w:r>
              <w:rPr>
                <w:b/>
                <w:sz w:val="24"/>
                <w:szCs w:val="24"/>
              </w:rPr>
              <w:t>2014-15</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 xml:space="preserve">%age of RTI applicat-ions rejected by the Bank in </w:t>
            </w:r>
          </w:p>
          <w:p w:rsidR="00615570" w:rsidRDefault="00615570" w:rsidP="00615570">
            <w:pPr>
              <w:jc w:val="center"/>
              <w:rPr>
                <w:b/>
                <w:sz w:val="24"/>
                <w:szCs w:val="24"/>
              </w:rPr>
            </w:pPr>
            <w:r>
              <w:rPr>
                <w:b/>
                <w:sz w:val="24"/>
                <w:szCs w:val="24"/>
              </w:rPr>
              <w:t>2015-16</w:t>
            </w:r>
          </w:p>
        </w:tc>
        <w:tc>
          <w:tcPr>
            <w:tcW w:w="135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 xml:space="preserve">%age of RTI applica-tions rejected by the Bank in </w:t>
            </w:r>
          </w:p>
          <w:p w:rsidR="00615570" w:rsidRDefault="00615570" w:rsidP="00615570">
            <w:pPr>
              <w:jc w:val="center"/>
              <w:rPr>
                <w:b/>
                <w:sz w:val="24"/>
                <w:szCs w:val="24"/>
              </w:rPr>
            </w:pPr>
            <w:r>
              <w:rPr>
                <w:b/>
                <w:sz w:val="24"/>
                <w:szCs w:val="24"/>
              </w:rPr>
              <w:t>2016-17</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No. of Branches across the country</w:t>
            </w:r>
          </w:p>
          <w:p w:rsidR="00615570" w:rsidRDefault="00615570" w:rsidP="00615570">
            <w:pPr>
              <w:jc w:val="center"/>
              <w:rPr>
                <w:b/>
                <w:sz w:val="24"/>
                <w:szCs w:val="24"/>
              </w:rPr>
            </w:pPr>
            <w:r>
              <w:rPr>
                <w:b/>
                <w:sz w:val="24"/>
                <w:szCs w:val="24"/>
              </w:rPr>
              <w:t>(as on March 2017)</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Average number of RTI applicat-ions per branch in 2016-17</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Volume of Net NPAs as on 31 March 2016</w:t>
            </w:r>
          </w:p>
          <w:p w:rsidR="00615570" w:rsidRDefault="00615570" w:rsidP="00615570">
            <w:pPr>
              <w:jc w:val="center"/>
              <w:rPr>
                <w:b/>
                <w:sz w:val="24"/>
                <w:szCs w:val="24"/>
              </w:rPr>
            </w:pPr>
            <w:r>
              <w:rPr>
                <w:b/>
                <w:sz w:val="24"/>
                <w:szCs w:val="24"/>
              </w:rPr>
              <w:t>(in crore Rs.)</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Volume of Net NPAs as on 31 March, 2017</w:t>
            </w:r>
          </w:p>
          <w:p w:rsidR="00615570" w:rsidRDefault="00615570" w:rsidP="00342494">
            <w:pPr>
              <w:jc w:val="center"/>
              <w:rPr>
                <w:b/>
                <w:sz w:val="24"/>
                <w:szCs w:val="24"/>
              </w:rPr>
            </w:pPr>
            <w:r>
              <w:rPr>
                <w:b/>
                <w:sz w:val="24"/>
                <w:szCs w:val="24"/>
              </w:rPr>
              <w:t>(in crore Rs.)</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center"/>
              <w:rPr>
                <w:b/>
                <w:sz w:val="24"/>
                <w:szCs w:val="24"/>
              </w:rPr>
            </w:pPr>
            <w:r>
              <w:rPr>
                <w:b/>
                <w:sz w:val="24"/>
                <w:szCs w:val="24"/>
              </w:rPr>
              <w:t>%age change in the volume of Net NPAs between 2016-2017</w:t>
            </w:r>
          </w:p>
          <w:p w:rsidR="00615570" w:rsidRDefault="00615570" w:rsidP="00615570">
            <w:pPr>
              <w:jc w:val="center"/>
              <w:rPr>
                <w:b/>
                <w:sz w:val="24"/>
                <w:szCs w:val="24"/>
              </w:rPr>
            </w:pPr>
            <w:r>
              <w:rPr>
                <w:b/>
                <w:sz w:val="24"/>
                <w:szCs w:val="24"/>
              </w:rPr>
              <w:t>(+ = increase</w:t>
            </w:r>
          </w:p>
          <w:p w:rsidR="00615570" w:rsidRDefault="00615570" w:rsidP="00615570">
            <w:pPr>
              <w:jc w:val="center"/>
              <w:rPr>
                <w:b/>
                <w:sz w:val="24"/>
                <w:szCs w:val="24"/>
              </w:rPr>
            </w:pPr>
            <w:r>
              <w:rPr>
                <w:b/>
                <w:sz w:val="24"/>
                <w:szCs w:val="24"/>
              </w:rPr>
              <w:t>- = decrease)</w:t>
            </w:r>
          </w:p>
        </w:tc>
      </w:tr>
      <w:tr w:rsidR="00615570" w:rsidTr="00B55E02">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rPr>
                <w:sz w:val="24"/>
                <w:szCs w:val="24"/>
              </w:rPr>
            </w:pPr>
            <w:r>
              <w:rPr>
                <w:sz w:val="24"/>
                <w:szCs w:val="24"/>
              </w:rPr>
              <w:t>20.</w:t>
            </w:r>
          </w:p>
        </w:tc>
        <w:tc>
          <w:tcPr>
            <w:tcW w:w="2179" w:type="dxa"/>
            <w:tcBorders>
              <w:top w:val="single" w:sz="4" w:space="0" w:color="000000"/>
              <w:left w:val="single" w:sz="4" w:space="0" w:color="000000"/>
              <w:bottom w:val="single" w:sz="4" w:space="0" w:color="000000"/>
              <w:right w:val="single" w:sz="4" w:space="0" w:color="000000"/>
            </w:tcBorders>
            <w:hideMark/>
          </w:tcPr>
          <w:p w:rsidR="00615570" w:rsidRDefault="00615570" w:rsidP="00615570">
            <w:pPr>
              <w:rPr>
                <w:b/>
                <w:sz w:val="24"/>
                <w:szCs w:val="24"/>
              </w:rPr>
            </w:pPr>
            <w:r>
              <w:rPr>
                <w:b/>
                <w:sz w:val="24"/>
                <w:szCs w:val="24"/>
              </w:rPr>
              <w:t>State Bank of Patiala</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30 + 1,317</w:t>
            </w:r>
          </w:p>
          <w:p w:rsidR="00615570" w:rsidRPr="00205D47" w:rsidRDefault="00615570" w:rsidP="00615570">
            <w:pPr>
              <w:spacing w:after="0" w:line="240" w:lineRule="auto"/>
              <w:jc w:val="right"/>
              <w:rPr>
                <w:sz w:val="24"/>
                <w:szCs w:val="24"/>
                <w:highlight w:val="yellow"/>
              </w:rPr>
            </w:pPr>
            <w:r>
              <w:rPr>
                <w:sz w:val="24"/>
                <w:szCs w:val="24"/>
              </w:rPr>
              <w:t>=</w:t>
            </w:r>
            <w:r w:rsidRPr="00B50F6F">
              <w:rPr>
                <w:b/>
                <w:sz w:val="24"/>
                <w:szCs w:val="24"/>
              </w:rPr>
              <w:t>1,347</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52 + 1,315</w:t>
            </w:r>
          </w:p>
          <w:p w:rsidR="00615570" w:rsidRDefault="00615570" w:rsidP="00615570">
            <w:pPr>
              <w:spacing w:after="0" w:line="240" w:lineRule="auto"/>
              <w:jc w:val="right"/>
              <w:rPr>
                <w:sz w:val="24"/>
                <w:szCs w:val="24"/>
                <w:highlight w:val="yellow"/>
              </w:rPr>
            </w:pPr>
            <w:r>
              <w:rPr>
                <w:sz w:val="24"/>
                <w:szCs w:val="24"/>
              </w:rPr>
              <w:t>=</w:t>
            </w:r>
            <w:r>
              <w:rPr>
                <w:b/>
                <w:sz w:val="24"/>
                <w:szCs w:val="24"/>
              </w:rPr>
              <w:t>1,367</w:t>
            </w:r>
          </w:p>
        </w:tc>
        <w:tc>
          <w:tcPr>
            <w:tcW w:w="1620" w:type="dxa"/>
            <w:tcBorders>
              <w:top w:val="single" w:sz="4" w:space="0" w:color="000000"/>
              <w:left w:val="single" w:sz="4" w:space="0" w:color="000000"/>
              <w:bottom w:val="single" w:sz="4" w:space="0" w:color="000000"/>
              <w:right w:val="single" w:sz="4" w:space="0" w:color="000000"/>
            </w:tcBorders>
          </w:tcPr>
          <w:p w:rsidR="00615570" w:rsidRDefault="00F1209A" w:rsidP="00F1209A">
            <w:pPr>
              <w:jc w:val="right"/>
              <w:rPr>
                <w:sz w:val="24"/>
                <w:szCs w:val="24"/>
              </w:rPr>
            </w:pPr>
            <w:r>
              <w:rPr>
                <w:sz w:val="24"/>
                <w:szCs w:val="24"/>
              </w:rPr>
              <w:t>+0</w:t>
            </w:r>
            <w:r w:rsidR="00615570">
              <w:rPr>
                <w:sz w:val="24"/>
                <w:szCs w:val="24"/>
              </w:rPr>
              <w:t>.</w:t>
            </w:r>
            <w:r>
              <w:rPr>
                <w:sz w:val="24"/>
                <w:szCs w:val="24"/>
              </w:rPr>
              <w:t>15</w:t>
            </w:r>
            <w:r w:rsidR="00615570">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41 + 1,250</w:t>
            </w:r>
          </w:p>
          <w:p w:rsidR="00615570" w:rsidRPr="00205D47" w:rsidRDefault="00615570" w:rsidP="00615570">
            <w:pPr>
              <w:spacing w:after="0" w:line="240" w:lineRule="auto"/>
              <w:jc w:val="right"/>
              <w:rPr>
                <w:sz w:val="24"/>
                <w:szCs w:val="24"/>
              </w:rPr>
            </w:pPr>
            <w:r>
              <w:rPr>
                <w:sz w:val="24"/>
                <w:szCs w:val="24"/>
              </w:rPr>
              <w:t>=</w:t>
            </w:r>
            <w:r w:rsidRPr="00502CF0">
              <w:rPr>
                <w:b/>
                <w:sz w:val="24"/>
                <w:szCs w:val="24"/>
              </w:rPr>
              <w:t>1,291</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-4.94%</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20%</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12.9%</w:t>
            </w:r>
          </w:p>
        </w:tc>
        <w:tc>
          <w:tcPr>
            <w:tcW w:w="1350" w:type="dxa"/>
            <w:tcBorders>
              <w:top w:val="single" w:sz="4" w:space="0" w:color="000000"/>
              <w:left w:val="single" w:sz="4" w:space="0" w:color="000000"/>
              <w:bottom w:val="single" w:sz="4" w:space="0" w:color="000000"/>
              <w:right w:val="single" w:sz="4" w:space="0" w:color="000000"/>
            </w:tcBorders>
          </w:tcPr>
          <w:p w:rsidR="00615570" w:rsidRPr="00205D47" w:rsidRDefault="00615570" w:rsidP="00615570">
            <w:pPr>
              <w:spacing w:after="0" w:line="240" w:lineRule="auto"/>
              <w:jc w:val="right"/>
              <w:rPr>
                <w:sz w:val="24"/>
                <w:szCs w:val="24"/>
              </w:rPr>
            </w:pPr>
            <w:r>
              <w:rPr>
                <w:sz w:val="24"/>
                <w:szCs w:val="24"/>
              </w:rPr>
              <w:t>13.5%</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1,442</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0.87</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3,268.20</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10,840.30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+231.69%</w:t>
            </w:r>
          </w:p>
        </w:tc>
      </w:tr>
      <w:tr w:rsidR="00615570" w:rsidTr="00B55E02">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rPr>
                <w:sz w:val="24"/>
                <w:szCs w:val="24"/>
              </w:rPr>
            </w:pPr>
            <w:r>
              <w:rPr>
                <w:sz w:val="24"/>
                <w:szCs w:val="24"/>
              </w:rPr>
              <w:t>21.</w:t>
            </w:r>
          </w:p>
        </w:tc>
        <w:tc>
          <w:tcPr>
            <w:tcW w:w="2179" w:type="dxa"/>
            <w:tcBorders>
              <w:top w:val="single" w:sz="4" w:space="0" w:color="000000"/>
              <w:left w:val="single" w:sz="4" w:space="0" w:color="000000"/>
              <w:bottom w:val="single" w:sz="4" w:space="0" w:color="000000"/>
              <w:right w:val="single" w:sz="4" w:space="0" w:color="000000"/>
            </w:tcBorders>
            <w:hideMark/>
          </w:tcPr>
          <w:p w:rsidR="00615570" w:rsidRDefault="00615570" w:rsidP="00615570">
            <w:pPr>
              <w:rPr>
                <w:b/>
                <w:sz w:val="24"/>
                <w:szCs w:val="24"/>
              </w:rPr>
            </w:pPr>
            <w:r>
              <w:rPr>
                <w:b/>
                <w:sz w:val="24"/>
                <w:szCs w:val="24"/>
              </w:rPr>
              <w:t>State Bank of Travancore</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15 + 817</w:t>
            </w:r>
          </w:p>
          <w:p w:rsidR="00615570" w:rsidRPr="00205D47" w:rsidRDefault="00615570" w:rsidP="00615570">
            <w:pPr>
              <w:spacing w:after="0" w:line="240" w:lineRule="auto"/>
              <w:jc w:val="right"/>
              <w:rPr>
                <w:sz w:val="24"/>
                <w:szCs w:val="24"/>
              </w:rPr>
            </w:pPr>
            <w:r>
              <w:rPr>
                <w:sz w:val="24"/>
                <w:szCs w:val="24"/>
              </w:rPr>
              <w:t>=</w:t>
            </w:r>
            <w:r w:rsidRPr="00BA2751">
              <w:rPr>
                <w:b/>
                <w:sz w:val="24"/>
                <w:szCs w:val="24"/>
              </w:rPr>
              <w:t>832</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0 + 749</w:t>
            </w:r>
          </w:p>
          <w:p w:rsidR="00615570" w:rsidRDefault="00615570" w:rsidP="00615570">
            <w:pPr>
              <w:spacing w:after="0" w:line="240" w:lineRule="auto"/>
              <w:jc w:val="right"/>
              <w:rPr>
                <w:b/>
                <w:sz w:val="24"/>
                <w:szCs w:val="24"/>
              </w:rPr>
            </w:pPr>
            <w:r>
              <w:rPr>
                <w:sz w:val="24"/>
                <w:szCs w:val="24"/>
              </w:rPr>
              <w:t>=</w:t>
            </w:r>
            <w:r>
              <w:rPr>
                <w:b/>
                <w:sz w:val="24"/>
                <w:szCs w:val="24"/>
              </w:rPr>
              <w:t>749</w:t>
            </w:r>
          </w:p>
        </w:tc>
        <w:tc>
          <w:tcPr>
            <w:tcW w:w="1620" w:type="dxa"/>
            <w:tcBorders>
              <w:top w:val="single" w:sz="4" w:space="0" w:color="000000"/>
              <w:left w:val="single" w:sz="4" w:space="0" w:color="000000"/>
              <w:bottom w:val="single" w:sz="4" w:space="0" w:color="000000"/>
              <w:right w:val="single" w:sz="4" w:space="0" w:color="000000"/>
            </w:tcBorders>
          </w:tcPr>
          <w:p w:rsidR="00615570" w:rsidRDefault="00F1209A" w:rsidP="00615570">
            <w:pPr>
              <w:jc w:val="right"/>
              <w:rPr>
                <w:sz w:val="24"/>
                <w:szCs w:val="24"/>
              </w:rPr>
            </w:pPr>
            <w:r>
              <w:rPr>
                <w:sz w:val="24"/>
                <w:szCs w:val="24"/>
              </w:rPr>
              <w:t>-8.32</w:t>
            </w:r>
            <w:r w:rsidR="00615570">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0 + 465</w:t>
            </w:r>
          </w:p>
          <w:p w:rsidR="00615570" w:rsidRPr="00205D47" w:rsidRDefault="00615570" w:rsidP="00615570">
            <w:pPr>
              <w:spacing w:after="0" w:line="240" w:lineRule="auto"/>
              <w:jc w:val="right"/>
              <w:rPr>
                <w:sz w:val="24"/>
                <w:szCs w:val="24"/>
              </w:rPr>
            </w:pPr>
            <w:r>
              <w:rPr>
                <w:sz w:val="24"/>
                <w:szCs w:val="24"/>
              </w:rPr>
              <w:t>=</w:t>
            </w:r>
            <w:r w:rsidRPr="00502CF0">
              <w:rPr>
                <w:b/>
                <w:sz w:val="24"/>
                <w:szCs w:val="24"/>
              </w:rPr>
              <w:t>465</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-37.92%</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31.8%</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27.2%</w:t>
            </w:r>
          </w:p>
        </w:tc>
        <w:tc>
          <w:tcPr>
            <w:tcW w:w="1350" w:type="dxa"/>
            <w:tcBorders>
              <w:top w:val="single" w:sz="4" w:space="0" w:color="000000"/>
              <w:left w:val="single" w:sz="4" w:space="0" w:color="000000"/>
              <w:bottom w:val="single" w:sz="4" w:space="0" w:color="000000"/>
              <w:right w:val="single" w:sz="4" w:space="0" w:color="000000"/>
            </w:tcBorders>
          </w:tcPr>
          <w:p w:rsidR="00615570" w:rsidRPr="00205D47" w:rsidRDefault="00615570" w:rsidP="00615570">
            <w:pPr>
              <w:spacing w:after="0" w:line="240" w:lineRule="auto"/>
              <w:jc w:val="right"/>
              <w:rPr>
                <w:sz w:val="24"/>
                <w:szCs w:val="24"/>
              </w:rPr>
            </w:pPr>
            <w:r>
              <w:rPr>
                <w:sz w:val="24"/>
                <w:szCs w:val="24"/>
              </w:rPr>
              <w:t>30.3%</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1,256</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0.37</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1,813.70</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4,966.60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250"/>
              <w:jc w:val="right"/>
              <w:rPr>
                <w:rFonts w:cs="Calibri"/>
                <w:color w:val="000000"/>
                <w:sz w:val="24"/>
                <w:szCs w:val="24"/>
              </w:rPr>
            </w:pPr>
            <w:r>
              <w:rPr>
                <w:rFonts w:cs="Calibri"/>
                <w:color w:val="000000"/>
                <w:sz w:val="24"/>
                <w:szCs w:val="24"/>
              </w:rPr>
              <w:t>+173.84%</w:t>
            </w:r>
          </w:p>
        </w:tc>
      </w:tr>
      <w:tr w:rsidR="00615570" w:rsidTr="00B55E02">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rPr>
                <w:sz w:val="24"/>
                <w:szCs w:val="24"/>
              </w:rPr>
            </w:pPr>
            <w:r>
              <w:rPr>
                <w:sz w:val="24"/>
                <w:szCs w:val="24"/>
              </w:rPr>
              <w:t>22.</w:t>
            </w:r>
          </w:p>
        </w:tc>
        <w:tc>
          <w:tcPr>
            <w:tcW w:w="2179" w:type="dxa"/>
            <w:tcBorders>
              <w:top w:val="single" w:sz="4" w:space="0" w:color="000000"/>
              <w:left w:val="single" w:sz="4" w:space="0" w:color="000000"/>
              <w:bottom w:val="single" w:sz="4" w:space="0" w:color="000000"/>
              <w:right w:val="single" w:sz="4" w:space="0" w:color="000000"/>
            </w:tcBorders>
            <w:hideMark/>
          </w:tcPr>
          <w:p w:rsidR="00615570" w:rsidRDefault="00615570" w:rsidP="00615570">
            <w:pPr>
              <w:rPr>
                <w:b/>
                <w:sz w:val="24"/>
                <w:szCs w:val="24"/>
              </w:rPr>
            </w:pPr>
            <w:r>
              <w:rPr>
                <w:b/>
                <w:sz w:val="24"/>
                <w:szCs w:val="24"/>
              </w:rPr>
              <w:t>Syndicate Bank</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21 + 2,637</w:t>
            </w:r>
          </w:p>
          <w:p w:rsidR="00615570" w:rsidRPr="00205D47" w:rsidRDefault="00615570" w:rsidP="00615570">
            <w:pPr>
              <w:spacing w:after="0" w:line="240" w:lineRule="auto"/>
              <w:jc w:val="right"/>
              <w:rPr>
                <w:sz w:val="24"/>
                <w:szCs w:val="24"/>
              </w:rPr>
            </w:pPr>
            <w:r>
              <w:rPr>
                <w:sz w:val="24"/>
                <w:szCs w:val="24"/>
              </w:rPr>
              <w:t>=</w:t>
            </w:r>
            <w:r w:rsidRPr="00160E8C">
              <w:rPr>
                <w:b/>
                <w:sz w:val="24"/>
                <w:szCs w:val="24"/>
              </w:rPr>
              <w:t>2,658</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49 + 2,442</w:t>
            </w:r>
          </w:p>
          <w:p w:rsidR="00615570" w:rsidRDefault="00615570" w:rsidP="00615570">
            <w:pPr>
              <w:spacing w:after="0" w:line="240" w:lineRule="auto"/>
              <w:jc w:val="right"/>
              <w:rPr>
                <w:sz w:val="24"/>
                <w:szCs w:val="24"/>
              </w:rPr>
            </w:pPr>
            <w:r>
              <w:rPr>
                <w:sz w:val="24"/>
                <w:szCs w:val="24"/>
              </w:rPr>
              <w:t>=</w:t>
            </w:r>
            <w:r>
              <w:rPr>
                <w:b/>
                <w:sz w:val="24"/>
                <w:szCs w:val="24"/>
              </w:rPr>
              <w:t>2,491</w:t>
            </w:r>
          </w:p>
        </w:tc>
        <w:tc>
          <w:tcPr>
            <w:tcW w:w="1620" w:type="dxa"/>
            <w:tcBorders>
              <w:top w:val="single" w:sz="4" w:space="0" w:color="000000"/>
              <w:left w:val="single" w:sz="4" w:space="0" w:color="000000"/>
              <w:bottom w:val="single" w:sz="4" w:space="0" w:color="000000"/>
              <w:right w:val="single" w:sz="4" w:space="0" w:color="000000"/>
            </w:tcBorders>
          </w:tcPr>
          <w:p w:rsidR="00615570" w:rsidRDefault="00322174" w:rsidP="00615570">
            <w:pPr>
              <w:jc w:val="right"/>
              <w:rPr>
                <w:sz w:val="24"/>
                <w:szCs w:val="24"/>
              </w:rPr>
            </w:pPr>
            <w:r>
              <w:rPr>
                <w:sz w:val="24"/>
                <w:szCs w:val="24"/>
              </w:rPr>
              <w:t>-7.40</w:t>
            </w:r>
            <w:r w:rsidR="00615570">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57 + 2,880</w:t>
            </w:r>
          </w:p>
          <w:p w:rsidR="00615570" w:rsidRPr="007B3C22" w:rsidRDefault="00615570" w:rsidP="00615570">
            <w:pPr>
              <w:spacing w:after="0" w:line="240" w:lineRule="auto"/>
              <w:jc w:val="right"/>
              <w:rPr>
                <w:sz w:val="24"/>
                <w:szCs w:val="24"/>
              </w:rPr>
            </w:pPr>
            <w:r>
              <w:rPr>
                <w:sz w:val="24"/>
                <w:szCs w:val="24"/>
              </w:rPr>
              <w:t>=</w:t>
            </w:r>
            <w:r w:rsidRPr="00DE1B85">
              <w:rPr>
                <w:b/>
                <w:sz w:val="24"/>
                <w:szCs w:val="24"/>
              </w:rPr>
              <w:t>2,937</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+17.94%</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30.4%</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31.2%</w:t>
            </w:r>
          </w:p>
        </w:tc>
        <w:tc>
          <w:tcPr>
            <w:tcW w:w="1350" w:type="dxa"/>
            <w:tcBorders>
              <w:top w:val="single" w:sz="4" w:space="0" w:color="000000"/>
              <w:left w:val="single" w:sz="4" w:space="0" w:color="000000"/>
              <w:bottom w:val="single" w:sz="4" w:space="0" w:color="000000"/>
              <w:right w:val="single" w:sz="4" w:space="0" w:color="000000"/>
            </w:tcBorders>
          </w:tcPr>
          <w:p w:rsidR="00615570" w:rsidRPr="00205D47" w:rsidRDefault="00615570" w:rsidP="00615570">
            <w:pPr>
              <w:spacing w:after="0" w:line="240" w:lineRule="auto"/>
              <w:jc w:val="right"/>
              <w:rPr>
                <w:sz w:val="24"/>
                <w:szCs w:val="24"/>
              </w:rPr>
            </w:pPr>
            <w:r>
              <w:rPr>
                <w:sz w:val="24"/>
                <w:szCs w:val="24"/>
              </w:rPr>
              <w:t>24.6%</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4,104</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rFonts w:cs="Calibri"/>
                <w:color w:val="000000"/>
                <w:sz w:val="24"/>
                <w:szCs w:val="24"/>
              </w:rPr>
            </w:pPr>
            <w:r>
              <w:rPr>
                <w:rFonts w:cs="Calibri"/>
                <w:color w:val="000000"/>
                <w:sz w:val="24"/>
                <w:szCs w:val="24"/>
              </w:rPr>
              <w:t>0.70</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432"/>
              <w:jc w:val="right"/>
              <w:rPr>
                <w:rFonts w:cs="Calibri"/>
                <w:color w:val="000000"/>
                <w:sz w:val="24"/>
                <w:szCs w:val="24"/>
              </w:rPr>
            </w:pPr>
            <w:r>
              <w:rPr>
                <w:rFonts w:cs="Calibri"/>
                <w:color w:val="000000"/>
                <w:sz w:val="24"/>
                <w:szCs w:val="24"/>
              </w:rPr>
              <w:t>9,014.90</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95" w:right="49"/>
              <w:jc w:val="right"/>
              <w:rPr>
                <w:rFonts w:cs="Calibri"/>
                <w:color w:val="000000"/>
                <w:sz w:val="24"/>
                <w:szCs w:val="24"/>
              </w:rPr>
            </w:pPr>
            <w:r>
              <w:rPr>
                <w:rFonts w:cs="Calibri"/>
                <w:color w:val="000000"/>
                <w:sz w:val="24"/>
                <w:szCs w:val="24"/>
              </w:rPr>
              <w:t>10,411.00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432"/>
              <w:jc w:val="right"/>
              <w:rPr>
                <w:rFonts w:cs="Calibri"/>
                <w:color w:val="000000"/>
                <w:sz w:val="24"/>
                <w:szCs w:val="24"/>
              </w:rPr>
            </w:pPr>
            <w:r>
              <w:rPr>
                <w:rFonts w:cs="Calibri"/>
                <w:color w:val="000000"/>
                <w:sz w:val="24"/>
                <w:szCs w:val="24"/>
              </w:rPr>
              <w:t>+15.49%</w:t>
            </w:r>
          </w:p>
        </w:tc>
      </w:tr>
      <w:tr w:rsidR="00615570" w:rsidTr="00B55E02">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rPr>
                <w:sz w:val="24"/>
                <w:szCs w:val="24"/>
              </w:rPr>
            </w:pPr>
            <w:r>
              <w:rPr>
                <w:sz w:val="24"/>
                <w:szCs w:val="24"/>
              </w:rPr>
              <w:t>23.</w:t>
            </w:r>
          </w:p>
        </w:tc>
        <w:tc>
          <w:tcPr>
            <w:tcW w:w="2179" w:type="dxa"/>
            <w:tcBorders>
              <w:top w:val="single" w:sz="4" w:space="0" w:color="000000"/>
              <w:left w:val="single" w:sz="4" w:space="0" w:color="000000"/>
              <w:bottom w:val="single" w:sz="4" w:space="0" w:color="000000"/>
              <w:right w:val="single" w:sz="4" w:space="0" w:color="000000"/>
            </w:tcBorders>
            <w:hideMark/>
          </w:tcPr>
          <w:p w:rsidR="00615570" w:rsidRDefault="00615570" w:rsidP="00615570">
            <w:pPr>
              <w:rPr>
                <w:b/>
                <w:sz w:val="24"/>
                <w:szCs w:val="24"/>
              </w:rPr>
            </w:pPr>
            <w:r>
              <w:rPr>
                <w:b/>
                <w:sz w:val="24"/>
                <w:szCs w:val="24"/>
              </w:rPr>
              <w:t>UCO Bank</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66 + 1,890</w:t>
            </w:r>
          </w:p>
          <w:p w:rsidR="00615570" w:rsidRPr="00205D47" w:rsidRDefault="00615570" w:rsidP="00615570">
            <w:pPr>
              <w:spacing w:after="0" w:line="240" w:lineRule="auto"/>
              <w:jc w:val="right"/>
              <w:rPr>
                <w:sz w:val="24"/>
                <w:szCs w:val="24"/>
              </w:rPr>
            </w:pPr>
            <w:r>
              <w:rPr>
                <w:sz w:val="24"/>
                <w:szCs w:val="24"/>
              </w:rPr>
              <w:t>=</w:t>
            </w:r>
            <w:r w:rsidRPr="00161CD6">
              <w:rPr>
                <w:b/>
                <w:sz w:val="24"/>
                <w:szCs w:val="24"/>
              </w:rPr>
              <w:t>1,956</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66 + 1,637</w:t>
            </w:r>
          </w:p>
          <w:p w:rsidR="00615570" w:rsidRDefault="00615570" w:rsidP="00615570">
            <w:pPr>
              <w:spacing w:after="0" w:line="240" w:lineRule="auto"/>
              <w:jc w:val="right"/>
              <w:rPr>
                <w:sz w:val="24"/>
                <w:szCs w:val="24"/>
              </w:rPr>
            </w:pPr>
            <w:r>
              <w:rPr>
                <w:sz w:val="24"/>
                <w:szCs w:val="24"/>
              </w:rPr>
              <w:t>=</w:t>
            </w:r>
            <w:r>
              <w:rPr>
                <w:b/>
                <w:sz w:val="24"/>
                <w:szCs w:val="24"/>
              </w:rPr>
              <w:t>1,703</w:t>
            </w:r>
          </w:p>
        </w:tc>
        <w:tc>
          <w:tcPr>
            <w:tcW w:w="1620" w:type="dxa"/>
            <w:tcBorders>
              <w:top w:val="single" w:sz="4" w:space="0" w:color="000000"/>
              <w:left w:val="single" w:sz="4" w:space="0" w:color="000000"/>
              <w:bottom w:val="single" w:sz="4" w:space="0" w:color="000000"/>
              <w:right w:val="single" w:sz="4" w:space="0" w:color="000000"/>
            </w:tcBorders>
          </w:tcPr>
          <w:p w:rsidR="00615570" w:rsidRDefault="00322174" w:rsidP="00322174">
            <w:pPr>
              <w:jc w:val="right"/>
              <w:rPr>
                <w:sz w:val="24"/>
                <w:szCs w:val="24"/>
              </w:rPr>
            </w:pPr>
            <w:r>
              <w:rPr>
                <w:sz w:val="24"/>
                <w:szCs w:val="24"/>
              </w:rPr>
              <w:t>-14%</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59 + 1,591</w:t>
            </w:r>
          </w:p>
          <w:p w:rsidR="00615570" w:rsidRPr="007B3C22" w:rsidRDefault="00615570" w:rsidP="00615570">
            <w:pPr>
              <w:spacing w:after="0" w:line="240" w:lineRule="auto"/>
              <w:jc w:val="right"/>
              <w:rPr>
                <w:sz w:val="24"/>
                <w:szCs w:val="24"/>
              </w:rPr>
            </w:pPr>
            <w:r>
              <w:rPr>
                <w:sz w:val="24"/>
                <w:szCs w:val="24"/>
              </w:rPr>
              <w:t>=</w:t>
            </w:r>
            <w:r w:rsidRPr="00DE1B85">
              <w:rPr>
                <w:b/>
                <w:sz w:val="24"/>
                <w:szCs w:val="24"/>
              </w:rPr>
              <w:t>1,650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+112.42%</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24.5%</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27.7%</w:t>
            </w:r>
          </w:p>
        </w:tc>
        <w:tc>
          <w:tcPr>
            <w:tcW w:w="1350" w:type="dxa"/>
            <w:tcBorders>
              <w:top w:val="single" w:sz="4" w:space="0" w:color="000000"/>
              <w:left w:val="single" w:sz="4" w:space="0" w:color="000000"/>
              <w:bottom w:val="single" w:sz="4" w:space="0" w:color="000000"/>
              <w:right w:val="single" w:sz="4" w:space="0" w:color="000000"/>
            </w:tcBorders>
          </w:tcPr>
          <w:p w:rsidR="00615570" w:rsidRPr="00205D47" w:rsidRDefault="00615570" w:rsidP="00615570">
            <w:pPr>
              <w:spacing w:after="0" w:line="240" w:lineRule="auto"/>
              <w:jc w:val="right"/>
              <w:rPr>
                <w:sz w:val="24"/>
                <w:szCs w:val="24"/>
              </w:rPr>
            </w:pPr>
            <w:r>
              <w:rPr>
                <w:sz w:val="24"/>
                <w:szCs w:val="24"/>
              </w:rPr>
              <w:t>26.8%</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3,157</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rFonts w:cs="Calibri"/>
                <w:color w:val="000000"/>
                <w:sz w:val="24"/>
                <w:szCs w:val="24"/>
              </w:rPr>
            </w:pPr>
            <w:r>
              <w:rPr>
                <w:rFonts w:cs="Calibri"/>
                <w:color w:val="000000"/>
                <w:sz w:val="24"/>
                <w:szCs w:val="24"/>
              </w:rPr>
              <w:t>0.50</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342"/>
              <w:jc w:val="right"/>
              <w:rPr>
                <w:rFonts w:cs="Calibri"/>
                <w:color w:val="000000"/>
                <w:sz w:val="24"/>
                <w:szCs w:val="24"/>
              </w:rPr>
            </w:pPr>
            <w:r>
              <w:rPr>
                <w:rFonts w:cs="Calibri"/>
                <w:color w:val="000000"/>
                <w:sz w:val="24"/>
                <w:szCs w:val="24"/>
              </w:rPr>
              <w:t>11,443.60</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95"/>
              <w:jc w:val="right"/>
              <w:rPr>
                <w:rFonts w:cs="Calibri"/>
                <w:color w:val="000000"/>
                <w:sz w:val="24"/>
                <w:szCs w:val="24"/>
              </w:rPr>
            </w:pPr>
            <w:r>
              <w:rPr>
                <w:rFonts w:cs="Calibri"/>
                <w:color w:val="000000"/>
                <w:sz w:val="24"/>
                <w:szCs w:val="24"/>
              </w:rPr>
              <w:t>10,703.40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342"/>
              <w:jc w:val="right"/>
              <w:rPr>
                <w:rFonts w:cs="Calibri"/>
                <w:color w:val="000000"/>
                <w:sz w:val="24"/>
                <w:szCs w:val="24"/>
              </w:rPr>
            </w:pPr>
            <w:r>
              <w:rPr>
                <w:rFonts w:cs="Calibri"/>
                <w:color w:val="000000"/>
                <w:sz w:val="24"/>
                <w:szCs w:val="24"/>
              </w:rPr>
              <w:t>-6.47%</w:t>
            </w:r>
          </w:p>
        </w:tc>
      </w:tr>
      <w:tr w:rsidR="00615570" w:rsidTr="00B55E02">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rPr>
                <w:sz w:val="24"/>
                <w:szCs w:val="24"/>
              </w:rPr>
            </w:pPr>
            <w:r>
              <w:rPr>
                <w:sz w:val="24"/>
                <w:szCs w:val="24"/>
              </w:rPr>
              <w:t>24.</w:t>
            </w:r>
          </w:p>
        </w:tc>
        <w:tc>
          <w:tcPr>
            <w:tcW w:w="2179" w:type="dxa"/>
            <w:tcBorders>
              <w:top w:val="single" w:sz="4" w:space="0" w:color="000000"/>
              <w:left w:val="single" w:sz="4" w:space="0" w:color="000000"/>
              <w:bottom w:val="single" w:sz="4" w:space="0" w:color="000000"/>
              <w:right w:val="single" w:sz="4" w:space="0" w:color="000000"/>
            </w:tcBorders>
            <w:hideMark/>
          </w:tcPr>
          <w:p w:rsidR="00615570" w:rsidRDefault="00615570" w:rsidP="00615570">
            <w:pPr>
              <w:rPr>
                <w:b/>
                <w:sz w:val="24"/>
                <w:szCs w:val="24"/>
              </w:rPr>
            </w:pPr>
            <w:r>
              <w:rPr>
                <w:b/>
                <w:sz w:val="24"/>
                <w:szCs w:val="24"/>
              </w:rPr>
              <w:t>Union Bank of India</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60 + 2,176</w:t>
            </w:r>
          </w:p>
          <w:p w:rsidR="00615570" w:rsidRPr="00205D47" w:rsidRDefault="00615570" w:rsidP="00615570">
            <w:pPr>
              <w:spacing w:after="0" w:line="240" w:lineRule="auto"/>
              <w:jc w:val="right"/>
              <w:rPr>
                <w:sz w:val="24"/>
                <w:szCs w:val="24"/>
              </w:rPr>
            </w:pPr>
            <w:r>
              <w:rPr>
                <w:sz w:val="24"/>
                <w:szCs w:val="24"/>
              </w:rPr>
              <w:t>=</w:t>
            </w:r>
            <w:r w:rsidRPr="00DC168F">
              <w:rPr>
                <w:b/>
                <w:sz w:val="24"/>
                <w:szCs w:val="24"/>
              </w:rPr>
              <w:t>2,236</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46 + 2,455</w:t>
            </w:r>
          </w:p>
          <w:p w:rsidR="00615570" w:rsidRDefault="00615570" w:rsidP="00615570">
            <w:pPr>
              <w:spacing w:after="0" w:line="240" w:lineRule="auto"/>
              <w:jc w:val="right"/>
              <w:rPr>
                <w:sz w:val="24"/>
                <w:szCs w:val="24"/>
              </w:rPr>
            </w:pPr>
            <w:r>
              <w:rPr>
                <w:sz w:val="24"/>
                <w:szCs w:val="24"/>
              </w:rPr>
              <w:t>=</w:t>
            </w:r>
            <w:r>
              <w:rPr>
                <w:b/>
                <w:sz w:val="24"/>
                <w:szCs w:val="24"/>
              </w:rPr>
              <w:t>2,501</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322174">
            <w:pPr>
              <w:jc w:val="right"/>
              <w:rPr>
                <w:sz w:val="24"/>
                <w:szCs w:val="24"/>
              </w:rPr>
            </w:pPr>
            <w:r>
              <w:rPr>
                <w:sz w:val="24"/>
                <w:szCs w:val="24"/>
              </w:rPr>
              <w:t>+1</w:t>
            </w:r>
            <w:r w:rsidR="00322174">
              <w:rPr>
                <w:sz w:val="24"/>
                <w:szCs w:val="24"/>
              </w:rPr>
              <w:t>2</w:t>
            </w:r>
            <w:r>
              <w:rPr>
                <w:sz w:val="24"/>
                <w:szCs w:val="24"/>
              </w:rPr>
              <w:t>.8</w:t>
            </w:r>
            <w:r w:rsidR="00322174">
              <w:rPr>
                <w:sz w:val="24"/>
                <w:szCs w:val="24"/>
              </w:rPr>
              <w:t>2</w:t>
            </w:r>
            <w:r>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30 + 1,025</w:t>
            </w:r>
          </w:p>
          <w:p w:rsidR="00615570" w:rsidRPr="007B3C22" w:rsidRDefault="00615570" w:rsidP="00615570">
            <w:pPr>
              <w:spacing w:after="0" w:line="240" w:lineRule="auto"/>
              <w:jc w:val="right"/>
              <w:rPr>
                <w:sz w:val="24"/>
                <w:szCs w:val="24"/>
              </w:rPr>
            </w:pPr>
            <w:r>
              <w:rPr>
                <w:sz w:val="24"/>
                <w:szCs w:val="24"/>
              </w:rPr>
              <w:t>=</w:t>
            </w:r>
            <w:r w:rsidRPr="00DE1B85">
              <w:rPr>
                <w:b/>
                <w:sz w:val="24"/>
                <w:szCs w:val="24"/>
              </w:rPr>
              <w:t>1,055</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-58.25%</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20.7%</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20.2%</w:t>
            </w:r>
          </w:p>
        </w:tc>
        <w:tc>
          <w:tcPr>
            <w:tcW w:w="1350" w:type="dxa"/>
            <w:tcBorders>
              <w:top w:val="single" w:sz="4" w:space="0" w:color="000000"/>
              <w:left w:val="single" w:sz="4" w:space="0" w:color="000000"/>
              <w:bottom w:val="single" w:sz="4" w:space="0" w:color="000000"/>
              <w:right w:val="single" w:sz="4" w:space="0" w:color="000000"/>
            </w:tcBorders>
          </w:tcPr>
          <w:p w:rsidR="00615570" w:rsidRPr="00205D47" w:rsidRDefault="00615570" w:rsidP="00615570">
            <w:pPr>
              <w:spacing w:after="0" w:line="240" w:lineRule="auto"/>
              <w:jc w:val="right"/>
              <w:rPr>
                <w:sz w:val="24"/>
                <w:szCs w:val="24"/>
              </w:rPr>
            </w:pPr>
            <w:r>
              <w:rPr>
                <w:sz w:val="24"/>
                <w:szCs w:val="24"/>
              </w:rPr>
              <w:t>23.3%</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4,426</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rFonts w:cs="Calibri"/>
                <w:color w:val="000000"/>
                <w:sz w:val="24"/>
                <w:szCs w:val="24"/>
              </w:rPr>
            </w:pPr>
            <w:r>
              <w:rPr>
                <w:rFonts w:cs="Calibri"/>
                <w:color w:val="000000"/>
                <w:sz w:val="24"/>
                <w:szCs w:val="24"/>
              </w:rPr>
              <w:t>0.23</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342"/>
              <w:jc w:val="right"/>
              <w:rPr>
                <w:rFonts w:cs="Calibri"/>
                <w:color w:val="000000"/>
                <w:sz w:val="24"/>
                <w:szCs w:val="24"/>
              </w:rPr>
            </w:pPr>
            <w:r>
              <w:rPr>
                <w:rFonts w:cs="Calibri"/>
                <w:color w:val="000000"/>
                <w:sz w:val="24"/>
                <w:szCs w:val="24"/>
              </w:rPr>
              <w:t>14,025.90</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95"/>
              <w:jc w:val="right"/>
              <w:rPr>
                <w:rFonts w:cs="Calibri"/>
                <w:color w:val="000000"/>
                <w:sz w:val="24"/>
                <w:szCs w:val="24"/>
              </w:rPr>
            </w:pPr>
            <w:r>
              <w:rPr>
                <w:rFonts w:cs="Calibri"/>
                <w:color w:val="000000"/>
                <w:sz w:val="24"/>
                <w:szCs w:val="24"/>
              </w:rPr>
              <w:t>18,832.10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342"/>
              <w:jc w:val="right"/>
              <w:rPr>
                <w:rFonts w:cs="Calibri"/>
                <w:color w:val="000000"/>
                <w:sz w:val="24"/>
                <w:szCs w:val="24"/>
              </w:rPr>
            </w:pPr>
            <w:r>
              <w:rPr>
                <w:rFonts w:cs="Calibri"/>
                <w:color w:val="000000"/>
                <w:sz w:val="24"/>
                <w:szCs w:val="24"/>
              </w:rPr>
              <w:t>+34.27%</w:t>
            </w:r>
          </w:p>
        </w:tc>
      </w:tr>
      <w:tr w:rsidR="00615570" w:rsidTr="00B55E02">
        <w:trPr>
          <w:trHeight w:val="719"/>
        </w:trPr>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rPr>
                <w:sz w:val="24"/>
                <w:szCs w:val="24"/>
              </w:rPr>
            </w:pPr>
            <w:r>
              <w:rPr>
                <w:sz w:val="24"/>
                <w:szCs w:val="24"/>
              </w:rPr>
              <w:t>25.</w:t>
            </w:r>
          </w:p>
        </w:tc>
        <w:tc>
          <w:tcPr>
            <w:tcW w:w="2179" w:type="dxa"/>
            <w:tcBorders>
              <w:top w:val="single" w:sz="4" w:space="0" w:color="000000"/>
              <w:left w:val="single" w:sz="4" w:space="0" w:color="000000"/>
              <w:bottom w:val="single" w:sz="4" w:space="0" w:color="000000"/>
              <w:right w:val="single" w:sz="4" w:space="0" w:color="000000"/>
            </w:tcBorders>
            <w:hideMark/>
          </w:tcPr>
          <w:p w:rsidR="00615570" w:rsidRDefault="00615570" w:rsidP="00615570">
            <w:pPr>
              <w:rPr>
                <w:b/>
                <w:sz w:val="24"/>
                <w:szCs w:val="24"/>
              </w:rPr>
            </w:pPr>
            <w:r>
              <w:rPr>
                <w:b/>
                <w:sz w:val="24"/>
                <w:szCs w:val="24"/>
              </w:rPr>
              <w:t>United Bank of India</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0 + 643</w:t>
            </w:r>
          </w:p>
          <w:p w:rsidR="00615570" w:rsidRPr="00205D47" w:rsidRDefault="00615570" w:rsidP="00615570">
            <w:pPr>
              <w:spacing w:after="0" w:line="240" w:lineRule="auto"/>
              <w:jc w:val="right"/>
              <w:rPr>
                <w:sz w:val="24"/>
                <w:szCs w:val="24"/>
              </w:rPr>
            </w:pPr>
            <w:r>
              <w:rPr>
                <w:sz w:val="24"/>
                <w:szCs w:val="24"/>
              </w:rPr>
              <w:t>=</w:t>
            </w:r>
            <w:r w:rsidRPr="00D811BD">
              <w:rPr>
                <w:b/>
                <w:sz w:val="24"/>
                <w:szCs w:val="24"/>
              </w:rPr>
              <w:t>643</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0 + 135</w:t>
            </w:r>
          </w:p>
          <w:p w:rsidR="00615570" w:rsidRDefault="00615570" w:rsidP="00615570">
            <w:pPr>
              <w:spacing w:after="0" w:line="240" w:lineRule="auto"/>
              <w:jc w:val="right"/>
              <w:rPr>
                <w:b/>
                <w:sz w:val="24"/>
                <w:szCs w:val="24"/>
              </w:rPr>
            </w:pPr>
            <w:r>
              <w:rPr>
                <w:sz w:val="24"/>
                <w:szCs w:val="24"/>
              </w:rPr>
              <w:t>=</w:t>
            </w:r>
            <w:r>
              <w:rPr>
                <w:b/>
                <w:sz w:val="24"/>
                <w:szCs w:val="24"/>
              </w:rPr>
              <w:t>135</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-79%</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0 + 957</w:t>
            </w:r>
          </w:p>
          <w:p w:rsidR="00615570" w:rsidRPr="007B3C22" w:rsidRDefault="00615570" w:rsidP="00615570">
            <w:pPr>
              <w:spacing w:after="0" w:line="240" w:lineRule="auto"/>
              <w:jc w:val="right"/>
              <w:rPr>
                <w:sz w:val="24"/>
                <w:szCs w:val="24"/>
              </w:rPr>
            </w:pPr>
            <w:r>
              <w:rPr>
                <w:sz w:val="24"/>
                <w:szCs w:val="24"/>
              </w:rPr>
              <w:t>=</w:t>
            </w:r>
            <w:r w:rsidRPr="00DE1B85">
              <w:rPr>
                <w:b/>
                <w:sz w:val="24"/>
                <w:szCs w:val="24"/>
              </w:rPr>
              <w:t>957</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+608.89%</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6.2%</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65.2%</w:t>
            </w:r>
          </w:p>
        </w:tc>
        <w:tc>
          <w:tcPr>
            <w:tcW w:w="1350" w:type="dxa"/>
            <w:tcBorders>
              <w:top w:val="single" w:sz="4" w:space="0" w:color="000000"/>
              <w:left w:val="single" w:sz="4" w:space="0" w:color="000000"/>
              <w:bottom w:val="single" w:sz="4" w:space="0" w:color="000000"/>
              <w:right w:val="single" w:sz="4" w:space="0" w:color="000000"/>
            </w:tcBorders>
          </w:tcPr>
          <w:p w:rsidR="00615570" w:rsidRPr="00205D47" w:rsidRDefault="00615570" w:rsidP="00615570">
            <w:pPr>
              <w:spacing w:after="0" w:line="240" w:lineRule="auto"/>
              <w:jc w:val="right"/>
              <w:rPr>
                <w:sz w:val="24"/>
                <w:szCs w:val="24"/>
              </w:rPr>
            </w:pPr>
            <w:r>
              <w:rPr>
                <w:sz w:val="24"/>
                <w:szCs w:val="24"/>
              </w:rPr>
              <w:t>13.5%</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2,076</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rFonts w:cs="Calibri"/>
                <w:color w:val="000000"/>
                <w:sz w:val="24"/>
                <w:szCs w:val="24"/>
              </w:rPr>
            </w:pPr>
            <w:r>
              <w:rPr>
                <w:rFonts w:cs="Calibri"/>
                <w:color w:val="000000"/>
                <w:sz w:val="24"/>
                <w:szCs w:val="24"/>
              </w:rPr>
              <w:t>0.46</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342"/>
              <w:jc w:val="right"/>
              <w:rPr>
                <w:rFonts w:cs="Calibri"/>
                <w:color w:val="000000"/>
                <w:sz w:val="24"/>
                <w:szCs w:val="24"/>
              </w:rPr>
            </w:pPr>
            <w:r>
              <w:rPr>
                <w:rFonts w:cs="Calibri"/>
                <w:color w:val="000000"/>
                <w:sz w:val="24"/>
                <w:szCs w:val="24"/>
              </w:rPr>
              <w:t>6,110.70</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95"/>
              <w:jc w:val="right"/>
              <w:rPr>
                <w:rFonts w:cs="Calibri"/>
                <w:color w:val="000000"/>
                <w:sz w:val="24"/>
                <w:szCs w:val="24"/>
              </w:rPr>
            </w:pPr>
            <w:r>
              <w:rPr>
                <w:rFonts w:cs="Calibri"/>
                <w:color w:val="000000"/>
                <w:sz w:val="24"/>
                <w:szCs w:val="24"/>
              </w:rPr>
              <w:t>6,591.90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342"/>
              <w:jc w:val="right"/>
              <w:rPr>
                <w:rFonts w:cs="Calibri"/>
                <w:color w:val="000000"/>
                <w:sz w:val="24"/>
                <w:szCs w:val="24"/>
              </w:rPr>
            </w:pPr>
            <w:r>
              <w:rPr>
                <w:rFonts w:cs="Calibri"/>
                <w:color w:val="000000"/>
                <w:sz w:val="24"/>
                <w:szCs w:val="24"/>
              </w:rPr>
              <w:t>+7.87%</w:t>
            </w:r>
          </w:p>
        </w:tc>
      </w:tr>
      <w:tr w:rsidR="00615570" w:rsidTr="009B1E89">
        <w:tc>
          <w:tcPr>
            <w:tcW w:w="521" w:type="dxa"/>
            <w:tcBorders>
              <w:top w:val="single" w:sz="4" w:space="0" w:color="000000"/>
              <w:left w:val="single" w:sz="4" w:space="0" w:color="000000"/>
              <w:bottom w:val="single" w:sz="4" w:space="0" w:color="000000"/>
              <w:right w:val="single" w:sz="4" w:space="0" w:color="000000"/>
            </w:tcBorders>
          </w:tcPr>
          <w:p w:rsidR="00615570" w:rsidRDefault="00615570" w:rsidP="00615570">
            <w:pPr>
              <w:rPr>
                <w:sz w:val="24"/>
                <w:szCs w:val="24"/>
              </w:rPr>
            </w:pPr>
            <w:r>
              <w:rPr>
                <w:sz w:val="24"/>
                <w:szCs w:val="24"/>
              </w:rPr>
              <w:t>26.</w:t>
            </w:r>
          </w:p>
        </w:tc>
        <w:tc>
          <w:tcPr>
            <w:tcW w:w="2179" w:type="dxa"/>
            <w:tcBorders>
              <w:top w:val="single" w:sz="4" w:space="0" w:color="000000"/>
              <w:left w:val="single" w:sz="4" w:space="0" w:color="000000"/>
              <w:bottom w:val="single" w:sz="4" w:space="0" w:color="000000"/>
              <w:right w:val="single" w:sz="4" w:space="0" w:color="000000"/>
            </w:tcBorders>
            <w:hideMark/>
          </w:tcPr>
          <w:p w:rsidR="00615570" w:rsidRDefault="00615570" w:rsidP="00615570">
            <w:pPr>
              <w:rPr>
                <w:b/>
                <w:sz w:val="24"/>
                <w:szCs w:val="24"/>
              </w:rPr>
            </w:pPr>
            <w:r>
              <w:rPr>
                <w:b/>
                <w:sz w:val="24"/>
                <w:szCs w:val="24"/>
              </w:rPr>
              <w:t>Vijaya Bank</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0 + 966</w:t>
            </w:r>
          </w:p>
          <w:p w:rsidR="00615570" w:rsidRPr="00205D47" w:rsidRDefault="00615570" w:rsidP="00615570">
            <w:pPr>
              <w:spacing w:after="0" w:line="240" w:lineRule="auto"/>
              <w:jc w:val="right"/>
              <w:rPr>
                <w:sz w:val="24"/>
                <w:szCs w:val="24"/>
              </w:rPr>
            </w:pPr>
            <w:r>
              <w:rPr>
                <w:sz w:val="24"/>
                <w:szCs w:val="24"/>
              </w:rPr>
              <w:t>=</w:t>
            </w:r>
            <w:r w:rsidRPr="00904A48">
              <w:rPr>
                <w:b/>
                <w:sz w:val="24"/>
                <w:szCs w:val="24"/>
              </w:rPr>
              <w:t>966</w:t>
            </w:r>
          </w:p>
        </w:tc>
        <w:tc>
          <w:tcPr>
            <w:tcW w:w="1620"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25 + 798</w:t>
            </w:r>
          </w:p>
          <w:p w:rsidR="00615570" w:rsidRDefault="00615570" w:rsidP="00615570">
            <w:pPr>
              <w:spacing w:after="0" w:line="240" w:lineRule="auto"/>
              <w:jc w:val="right"/>
              <w:rPr>
                <w:b/>
                <w:sz w:val="24"/>
                <w:szCs w:val="24"/>
              </w:rPr>
            </w:pPr>
            <w:r>
              <w:rPr>
                <w:sz w:val="24"/>
                <w:szCs w:val="24"/>
              </w:rPr>
              <w:t>=</w:t>
            </w:r>
            <w:r>
              <w:rPr>
                <w:b/>
                <w:sz w:val="24"/>
                <w:szCs w:val="24"/>
              </w:rPr>
              <w:t>823</w:t>
            </w:r>
          </w:p>
        </w:tc>
        <w:tc>
          <w:tcPr>
            <w:tcW w:w="1620" w:type="dxa"/>
            <w:tcBorders>
              <w:top w:val="single" w:sz="4" w:space="0" w:color="000000"/>
              <w:left w:val="single" w:sz="4" w:space="0" w:color="000000"/>
              <w:bottom w:val="single" w:sz="4" w:space="0" w:color="000000"/>
              <w:right w:val="single" w:sz="4" w:space="0" w:color="000000"/>
            </w:tcBorders>
          </w:tcPr>
          <w:p w:rsidR="00615570" w:rsidRDefault="00322174" w:rsidP="00322174">
            <w:pPr>
              <w:jc w:val="right"/>
              <w:rPr>
                <w:sz w:val="24"/>
                <w:szCs w:val="24"/>
              </w:rPr>
            </w:pPr>
            <w:r>
              <w:rPr>
                <w:sz w:val="24"/>
                <w:szCs w:val="24"/>
              </w:rPr>
              <w:t>-17</w:t>
            </w:r>
            <w:r w:rsidR="00615570">
              <w:rPr>
                <w:sz w:val="24"/>
                <w:szCs w:val="24"/>
              </w:rPr>
              <w:t>.</w:t>
            </w:r>
            <w:r>
              <w:rPr>
                <w:sz w:val="24"/>
                <w:szCs w:val="24"/>
              </w:rPr>
              <w:t>39</w:t>
            </w:r>
            <w:r w:rsidR="00615570">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615570" w:rsidRDefault="00615570" w:rsidP="00615570">
            <w:pPr>
              <w:spacing w:after="0" w:line="240" w:lineRule="auto"/>
              <w:jc w:val="right"/>
              <w:rPr>
                <w:sz w:val="24"/>
                <w:szCs w:val="24"/>
              </w:rPr>
            </w:pPr>
            <w:r>
              <w:rPr>
                <w:sz w:val="24"/>
                <w:szCs w:val="24"/>
              </w:rPr>
              <w:t>1 + 974</w:t>
            </w:r>
          </w:p>
          <w:p w:rsidR="00615570" w:rsidRPr="007B3C22" w:rsidRDefault="00615570" w:rsidP="00615570">
            <w:pPr>
              <w:spacing w:after="0" w:line="240" w:lineRule="auto"/>
              <w:jc w:val="right"/>
              <w:rPr>
                <w:sz w:val="24"/>
                <w:szCs w:val="24"/>
              </w:rPr>
            </w:pPr>
            <w:r>
              <w:rPr>
                <w:sz w:val="24"/>
                <w:szCs w:val="24"/>
              </w:rPr>
              <w:t>=</w:t>
            </w:r>
            <w:r w:rsidRPr="00DE1B85">
              <w:rPr>
                <w:b/>
                <w:sz w:val="24"/>
                <w:szCs w:val="24"/>
              </w:rPr>
              <w:t>975</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+22.06%</w:t>
            </w:r>
          </w:p>
        </w:tc>
        <w:tc>
          <w:tcPr>
            <w:tcW w:w="114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39.4%</w:t>
            </w:r>
          </w:p>
        </w:tc>
        <w:tc>
          <w:tcPr>
            <w:tcW w:w="1237"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19.7%</w:t>
            </w:r>
          </w:p>
        </w:tc>
        <w:tc>
          <w:tcPr>
            <w:tcW w:w="1350" w:type="dxa"/>
            <w:tcBorders>
              <w:top w:val="single" w:sz="4" w:space="0" w:color="000000"/>
              <w:left w:val="single" w:sz="4" w:space="0" w:color="000000"/>
              <w:bottom w:val="single" w:sz="4" w:space="0" w:color="000000"/>
              <w:right w:val="single" w:sz="4" w:space="0" w:color="000000"/>
            </w:tcBorders>
          </w:tcPr>
          <w:p w:rsidR="00615570" w:rsidRPr="00205D47" w:rsidRDefault="00615570" w:rsidP="00615570">
            <w:pPr>
              <w:spacing w:after="0" w:line="240" w:lineRule="auto"/>
              <w:jc w:val="right"/>
              <w:rPr>
                <w:sz w:val="24"/>
                <w:szCs w:val="24"/>
              </w:rPr>
            </w:pPr>
            <w:r>
              <w:rPr>
                <w:sz w:val="24"/>
                <w:szCs w:val="24"/>
              </w:rPr>
              <w:t>38.2%</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sz w:val="24"/>
                <w:szCs w:val="24"/>
              </w:rPr>
            </w:pPr>
            <w:r>
              <w:rPr>
                <w:sz w:val="24"/>
                <w:szCs w:val="24"/>
              </w:rPr>
              <w:t>2,128</w:t>
            </w:r>
          </w:p>
        </w:tc>
        <w:tc>
          <w:tcPr>
            <w:tcW w:w="1170" w:type="dxa"/>
            <w:tcBorders>
              <w:top w:val="single" w:sz="4" w:space="0" w:color="000000"/>
              <w:left w:val="single" w:sz="4" w:space="0" w:color="000000"/>
              <w:bottom w:val="single" w:sz="4" w:space="0" w:color="000000"/>
              <w:right w:val="single" w:sz="4" w:space="0" w:color="000000"/>
            </w:tcBorders>
          </w:tcPr>
          <w:p w:rsidR="00615570" w:rsidRDefault="00615570" w:rsidP="00615570">
            <w:pPr>
              <w:jc w:val="right"/>
              <w:rPr>
                <w:rFonts w:cs="Calibri"/>
                <w:color w:val="000000"/>
                <w:sz w:val="24"/>
                <w:szCs w:val="24"/>
              </w:rPr>
            </w:pPr>
            <w:r>
              <w:rPr>
                <w:rFonts w:cs="Calibri"/>
                <w:color w:val="000000"/>
                <w:sz w:val="24"/>
                <w:szCs w:val="24"/>
              </w:rPr>
              <w:t>0.46</w:t>
            </w:r>
          </w:p>
        </w:tc>
        <w:tc>
          <w:tcPr>
            <w:tcW w:w="1597"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432"/>
              <w:jc w:val="right"/>
              <w:rPr>
                <w:rFonts w:cs="Calibri"/>
                <w:color w:val="000000"/>
                <w:sz w:val="24"/>
                <w:szCs w:val="24"/>
              </w:rPr>
            </w:pPr>
            <w:r>
              <w:rPr>
                <w:rFonts w:cs="Calibri"/>
                <w:color w:val="000000"/>
                <w:sz w:val="24"/>
                <w:szCs w:val="24"/>
              </w:rPr>
              <w:t>4,276.80</w:t>
            </w:r>
          </w:p>
        </w:tc>
        <w:tc>
          <w:tcPr>
            <w:tcW w:w="1463"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95"/>
              <w:jc w:val="right"/>
              <w:rPr>
                <w:rFonts w:cs="Calibri"/>
                <w:color w:val="000000"/>
                <w:sz w:val="24"/>
                <w:szCs w:val="24"/>
              </w:rPr>
            </w:pPr>
            <w:r>
              <w:rPr>
                <w:rFonts w:cs="Calibri"/>
                <w:color w:val="000000"/>
                <w:sz w:val="24"/>
                <w:szCs w:val="24"/>
              </w:rPr>
              <w:t>4,118.20</w:t>
            </w:r>
          </w:p>
        </w:tc>
        <w:tc>
          <w:tcPr>
            <w:tcW w:w="1530" w:type="dxa"/>
            <w:tcBorders>
              <w:top w:val="single" w:sz="4" w:space="0" w:color="000000"/>
              <w:left w:val="single" w:sz="4" w:space="0" w:color="000000"/>
              <w:bottom w:val="single" w:sz="4" w:space="0" w:color="000000"/>
              <w:right w:val="single" w:sz="4" w:space="0" w:color="000000"/>
            </w:tcBorders>
          </w:tcPr>
          <w:p w:rsidR="00615570" w:rsidRDefault="00615570" w:rsidP="00615570">
            <w:pPr>
              <w:ind w:left="432"/>
              <w:jc w:val="right"/>
              <w:rPr>
                <w:rFonts w:cs="Calibri"/>
                <w:color w:val="000000"/>
                <w:sz w:val="24"/>
                <w:szCs w:val="24"/>
              </w:rPr>
            </w:pPr>
            <w:r>
              <w:rPr>
                <w:rFonts w:cs="Calibri"/>
                <w:color w:val="000000"/>
                <w:sz w:val="24"/>
                <w:szCs w:val="24"/>
              </w:rPr>
              <w:t>-3.71%</w:t>
            </w:r>
          </w:p>
        </w:tc>
      </w:tr>
      <w:tr w:rsidR="00E67933" w:rsidTr="00DE46A6">
        <w:tc>
          <w:tcPr>
            <w:tcW w:w="521" w:type="dxa"/>
            <w:tcBorders>
              <w:top w:val="single" w:sz="4" w:space="0" w:color="000000"/>
              <w:left w:val="single" w:sz="4" w:space="0" w:color="000000"/>
              <w:bottom w:val="single" w:sz="4" w:space="0" w:color="000000"/>
              <w:right w:val="single" w:sz="4" w:space="0" w:color="000000"/>
            </w:tcBorders>
          </w:tcPr>
          <w:p w:rsidR="00E67933" w:rsidRDefault="00E67933" w:rsidP="00E67933">
            <w:pPr>
              <w:rPr>
                <w:sz w:val="24"/>
                <w:szCs w:val="24"/>
              </w:rPr>
            </w:pPr>
          </w:p>
        </w:tc>
        <w:tc>
          <w:tcPr>
            <w:tcW w:w="2179" w:type="dxa"/>
            <w:tcBorders>
              <w:top w:val="single" w:sz="4" w:space="0" w:color="000000"/>
              <w:left w:val="single" w:sz="4" w:space="0" w:color="000000"/>
              <w:bottom w:val="single" w:sz="4" w:space="0" w:color="000000"/>
              <w:right w:val="single" w:sz="4" w:space="0" w:color="000000"/>
            </w:tcBorders>
          </w:tcPr>
          <w:p w:rsidR="00E67933" w:rsidRDefault="00E67933" w:rsidP="00E67933">
            <w:pPr>
              <w:spacing w:after="0" w:line="240" w:lineRule="auto"/>
              <w:rPr>
                <w:b/>
                <w:sz w:val="24"/>
                <w:szCs w:val="24"/>
              </w:rPr>
            </w:pPr>
            <w:r>
              <w:rPr>
                <w:b/>
                <w:sz w:val="24"/>
                <w:szCs w:val="24"/>
              </w:rPr>
              <w:t xml:space="preserve">Total </w:t>
            </w:r>
          </w:p>
          <w:p w:rsidR="00E67933" w:rsidRDefault="00E67933" w:rsidP="00E67933">
            <w:pPr>
              <w:rPr>
                <w:b/>
                <w:sz w:val="24"/>
                <w:szCs w:val="24"/>
              </w:rPr>
            </w:pPr>
            <w:r w:rsidRPr="0047146D">
              <w:rPr>
                <w:i/>
                <w:sz w:val="20"/>
                <w:szCs w:val="20"/>
              </w:rPr>
              <w:t>(includes only fresh receipts in a given year)</w:t>
            </w:r>
          </w:p>
        </w:tc>
        <w:tc>
          <w:tcPr>
            <w:tcW w:w="1620" w:type="dxa"/>
            <w:tcBorders>
              <w:top w:val="single" w:sz="4" w:space="0" w:color="000000"/>
              <w:left w:val="single" w:sz="4" w:space="0" w:color="000000"/>
              <w:bottom w:val="single" w:sz="4" w:space="0" w:color="000000"/>
              <w:right w:val="single" w:sz="4" w:space="0" w:color="000000"/>
            </w:tcBorders>
          </w:tcPr>
          <w:p w:rsidR="00E67933" w:rsidRPr="0047146D" w:rsidRDefault="00E67933" w:rsidP="00E67933">
            <w:pPr>
              <w:spacing w:after="0" w:line="240" w:lineRule="auto"/>
              <w:ind w:right="72"/>
              <w:jc w:val="right"/>
              <w:rPr>
                <w:b/>
                <w:sz w:val="24"/>
                <w:szCs w:val="24"/>
              </w:rPr>
            </w:pPr>
            <w:r>
              <w:rPr>
                <w:b/>
                <w:sz w:val="24"/>
                <w:szCs w:val="24"/>
              </w:rPr>
              <w:t>74,332</w:t>
            </w:r>
          </w:p>
        </w:tc>
        <w:tc>
          <w:tcPr>
            <w:tcW w:w="1620" w:type="dxa"/>
            <w:tcBorders>
              <w:top w:val="single" w:sz="4" w:space="0" w:color="000000"/>
              <w:left w:val="single" w:sz="4" w:space="0" w:color="000000"/>
              <w:bottom w:val="single" w:sz="4" w:space="0" w:color="000000"/>
              <w:right w:val="single" w:sz="4" w:space="0" w:color="000000"/>
            </w:tcBorders>
          </w:tcPr>
          <w:p w:rsidR="00E67933" w:rsidRPr="0047146D" w:rsidRDefault="00E67933" w:rsidP="00E67933">
            <w:pPr>
              <w:spacing w:after="0" w:line="240" w:lineRule="auto"/>
              <w:ind w:right="72"/>
              <w:jc w:val="right"/>
              <w:rPr>
                <w:b/>
                <w:sz w:val="24"/>
                <w:szCs w:val="24"/>
              </w:rPr>
            </w:pPr>
            <w:r>
              <w:rPr>
                <w:b/>
                <w:sz w:val="24"/>
                <w:szCs w:val="24"/>
              </w:rPr>
              <w:t>76,420</w:t>
            </w:r>
          </w:p>
        </w:tc>
        <w:tc>
          <w:tcPr>
            <w:tcW w:w="1620" w:type="dxa"/>
            <w:tcBorders>
              <w:top w:val="single" w:sz="4" w:space="0" w:color="000000"/>
              <w:left w:val="single" w:sz="4" w:space="0" w:color="000000"/>
              <w:bottom w:val="single" w:sz="4" w:space="0" w:color="000000"/>
              <w:right w:val="single" w:sz="4" w:space="0" w:color="000000"/>
            </w:tcBorders>
          </w:tcPr>
          <w:p w:rsidR="00E67933" w:rsidRDefault="00E67933" w:rsidP="00E67933">
            <w:pPr>
              <w:jc w:val="center"/>
              <w:rPr>
                <w:sz w:val="24"/>
                <w:szCs w:val="24"/>
              </w:rPr>
            </w:pPr>
            <w:r>
              <w:rPr>
                <w:sz w:val="24"/>
                <w:szCs w:val="24"/>
              </w:rPr>
              <w:t>-</w:t>
            </w:r>
          </w:p>
        </w:tc>
        <w:tc>
          <w:tcPr>
            <w:tcW w:w="1643" w:type="dxa"/>
            <w:tcBorders>
              <w:top w:val="single" w:sz="4" w:space="0" w:color="000000"/>
              <w:left w:val="single" w:sz="4" w:space="0" w:color="000000"/>
              <w:bottom w:val="single" w:sz="4" w:space="0" w:color="000000"/>
              <w:right w:val="single" w:sz="4" w:space="0" w:color="000000"/>
            </w:tcBorders>
          </w:tcPr>
          <w:p w:rsidR="00E67933" w:rsidRDefault="00E67933" w:rsidP="00E67933">
            <w:pPr>
              <w:spacing w:after="0" w:line="240" w:lineRule="auto"/>
              <w:jc w:val="right"/>
              <w:rPr>
                <w:sz w:val="24"/>
                <w:szCs w:val="24"/>
              </w:rPr>
            </w:pPr>
            <w:r>
              <w:rPr>
                <w:b/>
                <w:sz w:val="24"/>
                <w:szCs w:val="24"/>
              </w:rPr>
              <w:t>73,423</w:t>
            </w:r>
          </w:p>
        </w:tc>
        <w:tc>
          <w:tcPr>
            <w:tcW w:w="10664" w:type="dxa"/>
            <w:gridSpan w:val="8"/>
            <w:tcBorders>
              <w:top w:val="single" w:sz="4" w:space="0" w:color="000000"/>
              <w:left w:val="single" w:sz="4" w:space="0" w:color="000000"/>
              <w:bottom w:val="single" w:sz="4" w:space="0" w:color="000000"/>
              <w:right w:val="single" w:sz="4" w:space="0" w:color="000000"/>
            </w:tcBorders>
          </w:tcPr>
          <w:p w:rsidR="00E67933" w:rsidRDefault="00E67933" w:rsidP="00E67933">
            <w:pPr>
              <w:ind w:left="95"/>
              <w:jc w:val="center"/>
              <w:rPr>
                <w:rFonts w:cs="Calibri"/>
                <w:color w:val="000000"/>
                <w:sz w:val="24"/>
                <w:szCs w:val="24"/>
              </w:rPr>
            </w:pPr>
            <w:r>
              <w:rPr>
                <w:rFonts w:cs="Calibri"/>
                <w:color w:val="000000"/>
                <w:sz w:val="24"/>
                <w:szCs w:val="24"/>
              </w:rPr>
              <w:t>-</w:t>
            </w:r>
          </w:p>
        </w:tc>
        <w:tc>
          <w:tcPr>
            <w:tcW w:w="1530" w:type="dxa"/>
            <w:tcBorders>
              <w:top w:val="single" w:sz="4" w:space="0" w:color="000000"/>
              <w:left w:val="single" w:sz="4" w:space="0" w:color="000000"/>
              <w:bottom w:val="single" w:sz="4" w:space="0" w:color="000000"/>
              <w:right w:val="single" w:sz="4" w:space="0" w:color="000000"/>
            </w:tcBorders>
          </w:tcPr>
          <w:p w:rsidR="00E67933" w:rsidRDefault="00E67933" w:rsidP="00E67933">
            <w:pPr>
              <w:ind w:left="432"/>
              <w:jc w:val="right"/>
              <w:rPr>
                <w:rFonts w:cs="Calibri"/>
                <w:color w:val="000000"/>
                <w:sz w:val="24"/>
                <w:szCs w:val="24"/>
              </w:rPr>
            </w:pPr>
          </w:p>
        </w:tc>
      </w:tr>
      <w:tr w:rsidR="00E67933" w:rsidTr="009B1E89">
        <w:tc>
          <w:tcPr>
            <w:tcW w:w="21397" w:type="dxa"/>
            <w:gridSpan w:val="1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7933" w:rsidRDefault="00E67933" w:rsidP="00E67933">
            <w:pPr>
              <w:ind w:left="432"/>
              <w:jc w:val="right"/>
              <w:rPr>
                <w:rFonts w:cs="Calibri"/>
                <w:color w:val="000000"/>
                <w:sz w:val="24"/>
                <w:szCs w:val="24"/>
              </w:rPr>
            </w:pPr>
          </w:p>
        </w:tc>
      </w:tr>
      <w:tr w:rsidR="004830BF" w:rsidTr="00DE46A6">
        <w:tc>
          <w:tcPr>
            <w:tcW w:w="521" w:type="dxa"/>
            <w:tcBorders>
              <w:top w:val="single" w:sz="4" w:space="0" w:color="000000"/>
              <w:left w:val="single" w:sz="4" w:space="0" w:color="000000"/>
              <w:bottom w:val="single" w:sz="4" w:space="0" w:color="000000"/>
              <w:right w:val="single" w:sz="4" w:space="0" w:color="000000"/>
            </w:tcBorders>
          </w:tcPr>
          <w:p w:rsidR="004830BF" w:rsidRDefault="004830BF" w:rsidP="00E67933">
            <w:pPr>
              <w:rPr>
                <w:sz w:val="24"/>
                <w:szCs w:val="24"/>
              </w:rPr>
            </w:pPr>
            <w:r>
              <w:rPr>
                <w:sz w:val="24"/>
                <w:szCs w:val="24"/>
              </w:rPr>
              <w:t>27.</w:t>
            </w:r>
          </w:p>
        </w:tc>
        <w:tc>
          <w:tcPr>
            <w:tcW w:w="2179" w:type="dxa"/>
            <w:tcBorders>
              <w:top w:val="single" w:sz="4" w:space="0" w:color="000000"/>
              <w:left w:val="single" w:sz="4" w:space="0" w:color="000000"/>
              <w:bottom w:val="single" w:sz="4" w:space="0" w:color="000000"/>
              <w:right w:val="single" w:sz="4" w:space="0" w:color="000000"/>
            </w:tcBorders>
            <w:hideMark/>
          </w:tcPr>
          <w:p w:rsidR="004830BF" w:rsidRDefault="004830BF" w:rsidP="00E67933">
            <w:pPr>
              <w:rPr>
                <w:b/>
                <w:sz w:val="24"/>
                <w:szCs w:val="24"/>
              </w:rPr>
            </w:pPr>
            <w:r>
              <w:rPr>
                <w:b/>
                <w:sz w:val="24"/>
                <w:szCs w:val="24"/>
              </w:rPr>
              <w:t>Reserve Bank of India</w:t>
            </w:r>
          </w:p>
        </w:tc>
        <w:tc>
          <w:tcPr>
            <w:tcW w:w="1620" w:type="dxa"/>
            <w:tcBorders>
              <w:top w:val="single" w:sz="4" w:space="0" w:color="000000"/>
              <w:left w:val="single" w:sz="4" w:space="0" w:color="000000"/>
              <w:bottom w:val="single" w:sz="4" w:space="0" w:color="000000"/>
              <w:right w:val="single" w:sz="4" w:space="0" w:color="000000"/>
            </w:tcBorders>
          </w:tcPr>
          <w:p w:rsidR="004830BF" w:rsidRDefault="004830BF" w:rsidP="00E67933">
            <w:pPr>
              <w:spacing w:after="0" w:line="240" w:lineRule="auto"/>
              <w:jc w:val="right"/>
              <w:rPr>
                <w:sz w:val="24"/>
                <w:szCs w:val="24"/>
              </w:rPr>
            </w:pPr>
            <w:r>
              <w:rPr>
                <w:sz w:val="24"/>
                <w:szCs w:val="24"/>
              </w:rPr>
              <w:t>36,227 + 7,041</w:t>
            </w:r>
          </w:p>
          <w:p w:rsidR="004830BF" w:rsidRDefault="004830BF" w:rsidP="00E67933">
            <w:pPr>
              <w:jc w:val="right"/>
              <w:rPr>
                <w:sz w:val="24"/>
                <w:szCs w:val="24"/>
              </w:rPr>
            </w:pPr>
            <w:r>
              <w:rPr>
                <w:sz w:val="24"/>
                <w:szCs w:val="24"/>
              </w:rPr>
              <w:t>=</w:t>
            </w:r>
            <w:r w:rsidRPr="00255A70">
              <w:rPr>
                <w:b/>
                <w:sz w:val="24"/>
                <w:szCs w:val="24"/>
              </w:rPr>
              <w:t>43,268</w:t>
            </w:r>
          </w:p>
        </w:tc>
        <w:tc>
          <w:tcPr>
            <w:tcW w:w="1620" w:type="dxa"/>
            <w:tcBorders>
              <w:top w:val="single" w:sz="4" w:space="0" w:color="000000"/>
              <w:left w:val="single" w:sz="4" w:space="0" w:color="000000"/>
              <w:bottom w:val="single" w:sz="4" w:space="0" w:color="000000"/>
              <w:right w:val="single" w:sz="4" w:space="0" w:color="000000"/>
            </w:tcBorders>
          </w:tcPr>
          <w:p w:rsidR="004830BF" w:rsidRDefault="004830BF" w:rsidP="00E67933">
            <w:pPr>
              <w:spacing w:after="0" w:line="240" w:lineRule="auto"/>
              <w:jc w:val="right"/>
              <w:rPr>
                <w:sz w:val="24"/>
                <w:szCs w:val="24"/>
              </w:rPr>
            </w:pPr>
            <w:r>
              <w:rPr>
                <w:sz w:val="24"/>
                <w:szCs w:val="24"/>
              </w:rPr>
              <w:t>38,884 + 11,564</w:t>
            </w:r>
          </w:p>
          <w:p w:rsidR="004830BF" w:rsidRDefault="004830BF" w:rsidP="00E67933">
            <w:pPr>
              <w:spacing w:after="0" w:line="240" w:lineRule="auto"/>
              <w:jc w:val="right"/>
              <w:rPr>
                <w:sz w:val="24"/>
                <w:szCs w:val="24"/>
              </w:rPr>
            </w:pPr>
            <w:r>
              <w:rPr>
                <w:sz w:val="24"/>
                <w:szCs w:val="24"/>
              </w:rPr>
              <w:t>=</w:t>
            </w:r>
            <w:r>
              <w:rPr>
                <w:b/>
                <w:sz w:val="24"/>
                <w:szCs w:val="24"/>
              </w:rPr>
              <w:t>50,448</w:t>
            </w:r>
          </w:p>
        </w:tc>
        <w:tc>
          <w:tcPr>
            <w:tcW w:w="1620" w:type="dxa"/>
            <w:tcBorders>
              <w:top w:val="single" w:sz="4" w:space="0" w:color="000000"/>
              <w:left w:val="single" w:sz="4" w:space="0" w:color="000000"/>
              <w:bottom w:val="single" w:sz="4" w:space="0" w:color="000000"/>
              <w:right w:val="single" w:sz="4" w:space="0" w:color="000000"/>
            </w:tcBorders>
          </w:tcPr>
          <w:p w:rsidR="004830BF" w:rsidRDefault="004830BF" w:rsidP="00E67933">
            <w:pPr>
              <w:jc w:val="right"/>
              <w:rPr>
                <w:sz w:val="24"/>
                <w:szCs w:val="24"/>
              </w:rPr>
            </w:pPr>
            <w:r>
              <w:rPr>
                <w:sz w:val="24"/>
                <w:szCs w:val="24"/>
              </w:rPr>
              <w:t>+64.24%</w:t>
            </w:r>
          </w:p>
        </w:tc>
        <w:tc>
          <w:tcPr>
            <w:tcW w:w="1643" w:type="dxa"/>
            <w:tcBorders>
              <w:top w:val="single" w:sz="4" w:space="0" w:color="000000"/>
              <w:left w:val="single" w:sz="4" w:space="0" w:color="000000"/>
              <w:bottom w:val="single" w:sz="4" w:space="0" w:color="000000"/>
              <w:right w:val="single" w:sz="4" w:space="0" w:color="000000"/>
            </w:tcBorders>
          </w:tcPr>
          <w:p w:rsidR="004830BF" w:rsidRDefault="004830BF" w:rsidP="00E67933">
            <w:pPr>
              <w:spacing w:after="0" w:line="240" w:lineRule="auto"/>
              <w:jc w:val="right"/>
              <w:rPr>
                <w:sz w:val="24"/>
                <w:szCs w:val="24"/>
              </w:rPr>
            </w:pPr>
            <w:r>
              <w:rPr>
                <w:sz w:val="24"/>
                <w:szCs w:val="24"/>
              </w:rPr>
              <w:t>41,113 + 13,260</w:t>
            </w:r>
          </w:p>
          <w:p w:rsidR="004830BF" w:rsidRDefault="004830BF" w:rsidP="00E67933">
            <w:pPr>
              <w:jc w:val="right"/>
              <w:rPr>
                <w:sz w:val="24"/>
                <w:szCs w:val="24"/>
              </w:rPr>
            </w:pPr>
            <w:r>
              <w:rPr>
                <w:sz w:val="24"/>
                <w:szCs w:val="24"/>
              </w:rPr>
              <w:t>=</w:t>
            </w:r>
            <w:r w:rsidRPr="00502CF0">
              <w:rPr>
                <w:b/>
                <w:sz w:val="24"/>
                <w:szCs w:val="24"/>
              </w:rPr>
              <w:t>54</w:t>
            </w:r>
            <w:r>
              <w:rPr>
                <w:b/>
                <w:sz w:val="24"/>
                <w:szCs w:val="24"/>
              </w:rPr>
              <w:t>,</w:t>
            </w:r>
            <w:r w:rsidRPr="00502CF0">
              <w:rPr>
                <w:b/>
                <w:sz w:val="24"/>
                <w:szCs w:val="24"/>
              </w:rPr>
              <w:t>373</w:t>
            </w:r>
          </w:p>
        </w:tc>
        <w:tc>
          <w:tcPr>
            <w:tcW w:w="1530" w:type="dxa"/>
            <w:tcBorders>
              <w:top w:val="single" w:sz="4" w:space="0" w:color="000000"/>
              <w:left w:val="single" w:sz="4" w:space="0" w:color="000000"/>
              <w:bottom w:val="single" w:sz="4" w:space="0" w:color="000000"/>
              <w:right w:val="single" w:sz="4" w:space="0" w:color="000000"/>
            </w:tcBorders>
          </w:tcPr>
          <w:p w:rsidR="004830BF" w:rsidRDefault="004830BF" w:rsidP="00E67933">
            <w:pPr>
              <w:jc w:val="right"/>
              <w:rPr>
                <w:sz w:val="24"/>
                <w:szCs w:val="24"/>
              </w:rPr>
            </w:pPr>
            <w:r>
              <w:rPr>
                <w:sz w:val="24"/>
                <w:szCs w:val="24"/>
              </w:rPr>
              <w:t>+14.67%</w:t>
            </w:r>
          </w:p>
        </w:tc>
        <w:tc>
          <w:tcPr>
            <w:tcW w:w="1147" w:type="dxa"/>
            <w:tcBorders>
              <w:top w:val="single" w:sz="4" w:space="0" w:color="000000"/>
              <w:left w:val="single" w:sz="4" w:space="0" w:color="000000"/>
              <w:bottom w:val="single" w:sz="4" w:space="0" w:color="000000"/>
              <w:right w:val="single" w:sz="4" w:space="0" w:color="000000"/>
            </w:tcBorders>
          </w:tcPr>
          <w:p w:rsidR="004830BF" w:rsidRDefault="004830BF" w:rsidP="00E67933">
            <w:pPr>
              <w:jc w:val="right"/>
              <w:rPr>
                <w:sz w:val="24"/>
                <w:szCs w:val="24"/>
              </w:rPr>
            </w:pPr>
            <w:r>
              <w:rPr>
                <w:sz w:val="24"/>
                <w:szCs w:val="24"/>
              </w:rPr>
              <w:t>2.1%</w:t>
            </w:r>
          </w:p>
        </w:tc>
        <w:tc>
          <w:tcPr>
            <w:tcW w:w="1237" w:type="dxa"/>
            <w:tcBorders>
              <w:top w:val="single" w:sz="4" w:space="0" w:color="000000"/>
              <w:left w:val="single" w:sz="4" w:space="0" w:color="000000"/>
              <w:bottom w:val="single" w:sz="4" w:space="0" w:color="000000"/>
              <w:right w:val="single" w:sz="4" w:space="0" w:color="000000"/>
            </w:tcBorders>
          </w:tcPr>
          <w:p w:rsidR="004830BF" w:rsidRDefault="004830BF" w:rsidP="00E67933">
            <w:pPr>
              <w:jc w:val="right"/>
              <w:rPr>
                <w:sz w:val="24"/>
                <w:szCs w:val="24"/>
              </w:rPr>
            </w:pPr>
            <w:r>
              <w:rPr>
                <w:sz w:val="24"/>
                <w:szCs w:val="24"/>
              </w:rPr>
              <w:t>1.3%</w:t>
            </w:r>
          </w:p>
        </w:tc>
        <w:tc>
          <w:tcPr>
            <w:tcW w:w="1350" w:type="dxa"/>
            <w:tcBorders>
              <w:top w:val="single" w:sz="4" w:space="0" w:color="000000"/>
              <w:left w:val="single" w:sz="4" w:space="0" w:color="000000"/>
              <w:bottom w:val="single" w:sz="4" w:space="0" w:color="000000"/>
              <w:right w:val="single" w:sz="4" w:space="0" w:color="000000"/>
            </w:tcBorders>
          </w:tcPr>
          <w:p w:rsidR="004830BF" w:rsidRDefault="004830BF" w:rsidP="00E67933">
            <w:pPr>
              <w:jc w:val="right"/>
              <w:rPr>
                <w:sz w:val="24"/>
                <w:szCs w:val="24"/>
              </w:rPr>
            </w:pPr>
            <w:r>
              <w:rPr>
                <w:sz w:val="24"/>
                <w:szCs w:val="24"/>
              </w:rPr>
              <w:t>2.5%</w:t>
            </w:r>
          </w:p>
        </w:tc>
        <w:tc>
          <w:tcPr>
            <w:tcW w:w="6930" w:type="dxa"/>
            <w:gridSpan w:val="5"/>
            <w:tcBorders>
              <w:top w:val="single" w:sz="4" w:space="0" w:color="000000"/>
              <w:left w:val="single" w:sz="4" w:space="0" w:color="000000"/>
              <w:bottom w:val="single" w:sz="4" w:space="0" w:color="000000"/>
              <w:right w:val="single" w:sz="4" w:space="0" w:color="000000"/>
            </w:tcBorders>
            <w:hideMark/>
          </w:tcPr>
          <w:p w:rsidR="004830BF" w:rsidRDefault="004830BF" w:rsidP="004830BF">
            <w:pPr>
              <w:jc w:val="center"/>
              <w:rPr>
                <w:rFonts w:cs="Calibri"/>
                <w:color w:val="000000"/>
                <w:sz w:val="24"/>
                <w:szCs w:val="24"/>
              </w:rPr>
            </w:pPr>
            <w:r>
              <w:rPr>
                <w:sz w:val="24"/>
                <w:szCs w:val="24"/>
              </w:rPr>
              <w:t>-</w:t>
            </w:r>
          </w:p>
        </w:tc>
      </w:tr>
    </w:tbl>
    <w:p w:rsidR="00EE4D9D" w:rsidRDefault="00EE4D9D">
      <w:pPr>
        <w:spacing w:after="0" w:line="240" w:lineRule="auto"/>
        <w:rPr>
          <w:b/>
          <w:sz w:val="28"/>
          <w:szCs w:val="28"/>
          <w:u w:val="single"/>
        </w:rPr>
      </w:pPr>
    </w:p>
    <w:p w:rsidR="00EE4D9D" w:rsidRDefault="00EE4D9D">
      <w:pPr>
        <w:spacing w:after="0" w:line="240" w:lineRule="auto"/>
        <w:rPr>
          <w:b/>
          <w:sz w:val="28"/>
          <w:szCs w:val="28"/>
          <w:u w:val="single"/>
        </w:rPr>
      </w:pPr>
      <w:r>
        <w:rPr>
          <w:b/>
          <w:sz w:val="28"/>
          <w:szCs w:val="28"/>
          <w:u w:val="single"/>
        </w:rPr>
        <w:lastRenderedPageBreak/>
        <w:br w:type="page"/>
      </w:r>
    </w:p>
    <w:p w:rsidR="00AE434B" w:rsidRPr="00EF4988" w:rsidRDefault="0090213B" w:rsidP="00EF4988">
      <w:pPr>
        <w:pStyle w:val="ListParagraph"/>
        <w:numPr>
          <w:ilvl w:val="0"/>
          <w:numId w:val="1"/>
        </w:numPr>
        <w:spacing w:after="0" w:line="240" w:lineRule="auto"/>
        <w:jc w:val="center"/>
        <w:rPr>
          <w:b/>
          <w:sz w:val="44"/>
          <w:szCs w:val="24"/>
          <w:u w:val="single"/>
        </w:rPr>
      </w:pPr>
      <w:r w:rsidRPr="00EF4988">
        <w:rPr>
          <w:b/>
          <w:sz w:val="44"/>
          <w:szCs w:val="24"/>
          <w:u w:val="single"/>
        </w:rPr>
        <w:lastRenderedPageBreak/>
        <w:t>Graphs</w:t>
      </w:r>
      <w:r w:rsidR="00342494" w:rsidRPr="00EF4988">
        <w:rPr>
          <w:b/>
          <w:sz w:val="44"/>
          <w:szCs w:val="24"/>
          <w:u w:val="single"/>
        </w:rPr>
        <w:t xml:space="preserve"> &amp; Charts</w:t>
      </w:r>
      <w:r w:rsidR="00EF4988" w:rsidRPr="00EF4988">
        <w:rPr>
          <w:b/>
          <w:sz w:val="44"/>
          <w:szCs w:val="24"/>
          <w:u w:val="single"/>
        </w:rPr>
        <w:t xml:space="preserve"> </w:t>
      </w:r>
      <w:r w:rsidR="00225604">
        <w:rPr>
          <w:b/>
          <w:sz w:val="44"/>
          <w:szCs w:val="24"/>
          <w:u w:val="single"/>
        </w:rPr>
        <w:t>b</w:t>
      </w:r>
      <w:r w:rsidR="00EF4988" w:rsidRPr="00EF4988">
        <w:rPr>
          <w:b/>
          <w:sz w:val="44"/>
          <w:szCs w:val="24"/>
          <w:u w:val="single"/>
        </w:rPr>
        <w:t xml:space="preserve">ased on </w:t>
      </w:r>
      <w:r w:rsidR="00E81DCF">
        <w:rPr>
          <w:b/>
          <w:sz w:val="44"/>
          <w:szCs w:val="24"/>
          <w:u w:val="single"/>
        </w:rPr>
        <w:t xml:space="preserve">RTI-related </w:t>
      </w:r>
      <w:r w:rsidR="00EF4988" w:rsidRPr="00EF4988">
        <w:rPr>
          <w:b/>
          <w:sz w:val="44"/>
          <w:szCs w:val="24"/>
          <w:u w:val="single"/>
        </w:rPr>
        <w:t xml:space="preserve">data </w:t>
      </w:r>
      <w:r w:rsidR="00BB792D">
        <w:rPr>
          <w:b/>
          <w:sz w:val="44"/>
          <w:szCs w:val="24"/>
          <w:u w:val="single"/>
        </w:rPr>
        <w:t xml:space="preserve">reported by Banks </w:t>
      </w:r>
      <w:r w:rsidR="00EF4988" w:rsidRPr="00EF4988">
        <w:rPr>
          <w:b/>
          <w:sz w:val="44"/>
          <w:szCs w:val="24"/>
          <w:u w:val="single"/>
        </w:rPr>
        <w:t>for 2016-17</w:t>
      </w:r>
    </w:p>
    <w:p w:rsidR="00784BA7" w:rsidRDefault="00784BA7" w:rsidP="00AE434B">
      <w:pPr>
        <w:spacing w:after="0" w:line="240" w:lineRule="auto"/>
        <w:jc w:val="center"/>
        <w:rPr>
          <w:b/>
          <w:sz w:val="44"/>
          <w:szCs w:val="24"/>
          <w:u w:val="single"/>
        </w:rPr>
      </w:pPr>
    </w:p>
    <w:p w:rsidR="003B25FC" w:rsidRDefault="00742063" w:rsidP="00784BA7">
      <w:pPr>
        <w:spacing w:after="0" w:line="240" w:lineRule="auto"/>
        <w:jc w:val="center"/>
        <w:rPr>
          <w:b/>
          <w:sz w:val="44"/>
          <w:szCs w:val="24"/>
          <w:u w:val="single"/>
        </w:rPr>
      </w:pPr>
      <w:r w:rsidRPr="00784BA7">
        <w:rPr>
          <w:b/>
          <w:noProof/>
          <w:sz w:val="44"/>
          <w:szCs w:val="24"/>
          <w:lang w:eastAsia="en-IN"/>
        </w:rPr>
        <w:drawing>
          <wp:inline distT="0" distB="0" distL="0" distR="0">
            <wp:extent cx="12789724" cy="5284470"/>
            <wp:effectExtent l="0" t="0" r="12065" b="1143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42063" w:rsidRPr="002C02DA" w:rsidRDefault="002C02DA" w:rsidP="002C02DA">
      <w:pPr>
        <w:spacing w:after="0" w:line="240" w:lineRule="auto"/>
        <w:rPr>
          <w:b/>
          <w:sz w:val="24"/>
          <w:szCs w:val="24"/>
        </w:rPr>
      </w:pPr>
      <w:r>
        <w:rPr>
          <w:b/>
          <w:sz w:val="44"/>
          <w:szCs w:val="24"/>
        </w:rPr>
        <w:tab/>
      </w:r>
      <w:r>
        <w:rPr>
          <w:b/>
          <w:sz w:val="24"/>
          <w:szCs w:val="24"/>
        </w:rPr>
        <w:t>NR = Data not reported</w:t>
      </w:r>
    </w:p>
    <w:p w:rsidR="00742063" w:rsidRDefault="00742063" w:rsidP="002A4942">
      <w:pPr>
        <w:spacing w:after="0" w:line="240" w:lineRule="auto"/>
        <w:rPr>
          <w:b/>
          <w:sz w:val="44"/>
          <w:szCs w:val="24"/>
          <w:u w:val="single"/>
        </w:rPr>
      </w:pPr>
    </w:p>
    <w:p w:rsidR="002A4942" w:rsidRDefault="002A4942" w:rsidP="002A4942">
      <w:pPr>
        <w:spacing w:after="0" w:line="240" w:lineRule="auto"/>
        <w:rPr>
          <w:b/>
          <w:sz w:val="44"/>
          <w:szCs w:val="24"/>
          <w:u w:val="single"/>
        </w:rPr>
      </w:pPr>
    </w:p>
    <w:p w:rsidR="002A4942" w:rsidRDefault="002A4942" w:rsidP="002A4942">
      <w:pPr>
        <w:spacing w:after="0" w:line="240" w:lineRule="auto"/>
        <w:rPr>
          <w:b/>
          <w:sz w:val="44"/>
          <w:szCs w:val="24"/>
          <w:u w:val="single"/>
        </w:rPr>
      </w:pPr>
    </w:p>
    <w:p w:rsidR="002A4942" w:rsidRDefault="002A4942" w:rsidP="002A4942">
      <w:pPr>
        <w:spacing w:after="0" w:line="240" w:lineRule="auto"/>
        <w:rPr>
          <w:b/>
          <w:sz w:val="44"/>
          <w:szCs w:val="24"/>
          <w:u w:val="single"/>
        </w:rPr>
      </w:pPr>
    </w:p>
    <w:p w:rsidR="002A4942" w:rsidRDefault="002A4942" w:rsidP="002A4942">
      <w:pPr>
        <w:spacing w:after="0" w:line="240" w:lineRule="auto"/>
        <w:rPr>
          <w:b/>
          <w:sz w:val="44"/>
          <w:szCs w:val="24"/>
          <w:u w:val="single"/>
        </w:rPr>
      </w:pPr>
    </w:p>
    <w:p w:rsidR="002A4942" w:rsidRDefault="002A4942" w:rsidP="002A4942">
      <w:pPr>
        <w:spacing w:after="0" w:line="240" w:lineRule="auto"/>
        <w:rPr>
          <w:b/>
          <w:sz w:val="44"/>
          <w:szCs w:val="24"/>
          <w:u w:val="single"/>
        </w:rPr>
      </w:pPr>
    </w:p>
    <w:p w:rsidR="002A4942" w:rsidRDefault="002A4942" w:rsidP="002A4942">
      <w:pPr>
        <w:spacing w:after="0" w:line="240" w:lineRule="auto"/>
        <w:rPr>
          <w:b/>
          <w:sz w:val="44"/>
          <w:szCs w:val="24"/>
          <w:u w:val="single"/>
        </w:rPr>
      </w:pPr>
    </w:p>
    <w:p w:rsidR="002A4942" w:rsidRDefault="002A4942" w:rsidP="002A4942">
      <w:pPr>
        <w:spacing w:after="0" w:line="240" w:lineRule="auto"/>
        <w:rPr>
          <w:b/>
          <w:sz w:val="24"/>
          <w:szCs w:val="24"/>
          <w:u w:val="single"/>
        </w:rPr>
      </w:pPr>
      <w:r>
        <w:rPr>
          <w:b/>
          <w:noProof/>
          <w:sz w:val="24"/>
          <w:szCs w:val="24"/>
          <w:u w:val="single"/>
          <w:lang w:eastAsia="en-IN"/>
        </w:rPr>
        <w:lastRenderedPageBreak/>
        <w:drawing>
          <wp:inline distT="0" distB="0" distL="0" distR="0">
            <wp:extent cx="13579475" cy="8205849"/>
            <wp:effectExtent l="0" t="0" r="3175" b="508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02DA" w:rsidRDefault="002C02DA" w:rsidP="002C02DA">
      <w:pPr>
        <w:spacing w:after="0" w:line="240" w:lineRule="auto"/>
        <w:ind w:firstLine="720"/>
        <w:rPr>
          <w:b/>
          <w:sz w:val="24"/>
          <w:szCs w:val="24"/>
          <w:u w:val="single"/>
        </w:rPr>
      </w:pPr>
      <w:r>
        <w:rPr>
          <w:b/>
          <w:sz w:val="24"/>
          <w:szCs w:val="24"/>
        </w:rPr>
        <w:t>NR = Data not reported</w:t>
      </w:r>
    </w:p>
    <w:p w:rsidR="002C02DA" w:rsidRPr="002A4942" w:rsidRDefault="002C02DA" w:rsidP="002A4942">
      <w:pPr>
        <w:spacing w:after="0" w:line="240" w:lineRule="auto"/>
        <w:rPr>
          <w:b/>
          <w:sz w:val="24"/>
          <w:szCs w:val="24"/>
          <w:u w:val="single"/>
        </w:rPr>
      </w:pPr>
    </w:p>
    <w:p w:rsidR="00EB30FE" w:rsidRDefault="00EB30FE" w:rsidP="000B4EFA">
      <w:pPr>
        <w:spacing w:after="0" w:line="240" w:lineRule="auto"/>
        <w:jc w:val="center"/>
        <w:rPr>
          <w:b/>
          <w:sz w:val="24"/>
          <w:szCs w:val="24"/>
          <w:u w:val="single"/>
        </w:rPr>
      </w:pPr>
    </w:p>
    <w:p w:rsidR="00784BA7" w:rsidRDefault="00784BA7" w:rsidP="000B4EFA">
      <w:pPr>
        <w:spacing w:after="0" w:line="240" w:lineRule="auto"/>
        <w:jc w:val="center"/>
        <w:rPr>
          <w:b/>
          <w:sz w:val="24"/>
          <w:szCs w:val="24"/>
          <w:u w:val="single"/>
        </w:rPr>
      </w:pPr>
      <w:r>
        <w:rPr>
          <w:b/>
          <w:noProof/>
          <w:sz w:val="24"/>
          <w:szCs w:val="24"/>
          <w:u w:val="single"/>
          <w:lang w:eastAsia="en-IN"/>
        </w:rPr>
        <w:drawing>
          <wp:inline distT="0" distB="0" distL="0" distR="0" wp14:anchorId="2636C06D" wp14:editId="1D80D151">
            <wp:extent cx="13027231" cy="6472052"/>
            <wp:effectExtent l="0" t="0" r="3175" b="508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C02DA" w:rsidRPr="00784BA7" w:rsidRDefault="002C02DA" w:rsidP="002C02DA">
      <w:pPr>
        <w:spacing w:after="0" w:line="240" w:lineRule="auto"/>
        <w:ind w:firstLine="720"/>
        <w:rPr>
          <w:b/>
          <w:sz w:val="24"/>
          <w:szCs w:val="24"/>
          <w:u w:val="single"/>
        </w:rPr>
      </w:pPr>
      <w:r>
        <w:rPr>
          <w:b/>
          <w:sz w:val="24"/>
          <w:szCs w:val="24"/>
        </w:rPr>
        <w:t>NR = Data not reported</w:t>
      </w:r>
    </w:p>
    <w:p w:rsidR="00742063" w:rsidRDefault="00742063" w:rsidP="00AE434B">
      <w:pPr>
        <w:spacing w:after="0" w:line="240" w:lineRule="auto"/>
        <w:jc w:val="center"/>
        <w:rPr>
          <w:b/>
          <w:sz w:val="44"/>
          <w:szCs w:val="24"/>
          <w:u w:val="single"/>
        </w:rPr>
      </w:pPr>
    </w:p>
    <w:p w:rsidR="00742063" w:rsidRDefault="00742063" w:rsidP="000B4EFA">
      <w:pPr>
        <w:spacing w:after="0" w:line="240" w:lineRule="auto"/>
        <w:rPr>
          <w:b/>
          <w:sz w:val="44"/>
          <w:szCs w:val="24"/>
          <w:u w:val="single"/>
        </w:rPr>
      </w:pPr>
    </w:p>
    <w:p w:rsidR="000B4EFA" w:rsidRDefault="000B4EFA" w:rsidP="000B4EFA">
      <w:pPr>
        <w:spacing w:after="0" w:line="240" w:lineRule="auto"/>
        <w:rPr>
          <w:b/>
          <w:sz w:val="44"/>
          <w:szCs w:val="24"/>
          <w:u w:val="single"/>
        </w:rPr>
      </w:pPr>
    </w:p>
    <w:p w:rsidR="000B4EFA" w:rsidRDefault="000B4EFA" w:rsidP="000B4EFA">
      <w:pPr>
        <w:spacing w:after="0" w:line="240" w:lineRule="auto"/>
        <w:rPr>
          <w:b/>
          <w:sz w:val="44"/>
          <w:szCs w:val="24"/>
          <w:u w:val="single"/>
        </w:rPr>
      </w:pPr>
    </w:p>
    <w:p w:rsidR="000B4EFA" w:rsidRDefault="000B4EFA" w:rsidP="000B4EFA">
      <w:pPr>
        <w:spacing w:after="0" w:line="240" w:lineRule="auto"/>
        <w:rPr>
          <w:b/>
          <w:sz w:val="44"/>
          <w:szCs w:val="24"/>
          <w:u w:val="single"/>
        </w:rPr>
      </w:pPr>
    </w:p>
    <w:p w:rsidR="000B4EFA" w:rsidRDefault="000B4EFA" w:rsidP="000B4EFA">
      <w:pPr>
        <w:spacing w:after="0" w:line="240" w:lineRule="auto"/>
        <w:rPr>
          <w:b/>
          <w:sz w:val="44"/>
          <w:szCs w:val="24"/>
          <w:u w:val="single"/>
        </w:rPr>
      </w:pPr>
    </w:p>
    <w:p w:rsidR="000B4EFA" w:rsidRPr="000B4EFA" w:rsidRDefault="000B4EFA" w:rsidP="000B4EFA">
      <w:pPr>
        <w:spacing w:after="0" w:line="240" w:lineRule="auto"/>
        <w:rPr>
          <w:b/>
          <w:sz w:val="24"/>
          <w:szCs w:val="24"/>
          <w:u w:val="single"/>
        </w:rPr>
      </w:pPr>
    </w:p>
    <w:p w:rsidR="000B4EFA" w:rsidRPr="009E546D" w:rsidRDefault="000B4EFA" w:rsidP="000B4EFA">
      <w:pPr>
        <w:spacing w:after="0" w:line="240" w:lineRule="auto"/>
        <w:rPr>
          <w:b/>
          <w:sz w:val="24"/>
          <w:szCs w:val="24"/>
        </w:rPr>
      </w:pPr>
    </w:p>
    <w:p w:rsidR="000B4EFA" w:rsidRPr="000B4EFA" w:rsidRDefault="000B4EFA" w:rsidP="009E546D">
      <w:pPr>
        <w:spacing w:after="0" w:line="240" w:lineRule="auto"/>
        <w:ind w:left="450"/>
        <w:rPr>
          <w:b/>
          <w:sz w:val="24"/>
          <w:szCs w:val="24"/>
        </w:rPr>
      </w:pPr>
      <w:r w:rsidRPr="000B4EFA">
        <w:rPr>
          <w:b/>
          <w:noProof/>
          <w:sz w:val="24"/>
          <w:szCs w:val="24"/>
          <w:lang w:eastAsia="en-IN"/>
        </w:rPr>
        <w:drawing>
          <wp:inline distT="0" distB="0" distL="0" distR="0">
            <wp:extent cx="6127845" cy="5622290"/>
            <wp:effectExtent l="0" t="0" r="6350" b="165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b/>
          <w:sz w:val="24"/>
          <w:szCs w:val="24"/>
        </w:rPr>
        <w:tab/>
      </w:r>
      <w:r w:rsidR="00AE19CD">
        <w:rPr>
          <w:b/>
          <w:sz w:val="24"/>
          <w:szCs w:val="24"/>
        </w:rPr>
        <w:tab/>
      </w:r>
      <w:r w:rsidR="00AE19CD">
        <w:rPr>
          <w:b/>
          <w:noProof/>
          <w:sz w:val="24"/>
          <w:szCs w:val="24"/>
          <w:lang w:eastAsia="en-IN"/>
        </w:rPr>
        <w:drawing>
          <wp:inline distT="0" distB="0" distL="0" distR="0">
            <wp:extent cx="5650173" cy="5547588"/>
            <wp:effectExtent l="0" t="0" r="8255" b="1524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42063" w:rsidRDefault="00742063" w:rsidP="00AE434B">
      <w:pPr>
        <w:spacing w:after="0" w:line="240" w:lineRule="auto"/>
        <w:jc w:val="center"/>
        <w:rPr>
          <w:b/>
          <w:sz w:val="44"/>
          <w:szCs w:val="24"/>
          <w:u w:val="single"/>
        </w:rPr>
      </w:pPr>
    </w:p>
    <w:p w:rsidR="00742063" w:rsidRDefault="00742063" w:rsidP="00AE434B">
      <w:pPr>
        <w:spacing w:after="0" w:line="240" w:lineRule="auto"/>
        <w:jc w:val="center"/>
        <w:rPr>
          <w:b/>
          <w:sz w:val="44"/>
          <w:szCs w:val="24"/>
          <w:u w:val="single"/>
        </w:rPr>
      </w:pPr>
    </w:p>
    <w:p w:rsidR="00742063" w:rsidRDefault="00742063" w:rsidP="009B1E89">
      <w:pPr>
        <w:spacing w:after="0" w:line="240" w:lineRule="auto"/>
        <w:rPr>
          <w:b/>
          <w:sz w:val="44"/>
          <w:szCs w:val="24"/>
          <w:u w:val="single"/>
        </w:rPr>
      </w:pPr>
    </w:p>
    <w:p w:rsidR="001F5CFB" w:rsidRDefault="001F5CFB" w:rsidP="009B1E89">
      <w:pPr>
        <w:spacing w:after="0" w:line="240" w:lineRule="auto"/>
        <w:rPr>
          <w:b/>
          <w:sz w:val="44"/>
          <w:szCs w:val="24"/>
          <w:u w:val="single"/>
        </w:rPr>
      </w:pPr>
    </w:p>
    <w:p w:rsidR="001F5CFB" w:rsidRDefault="001F5CFB" w:rsidP="009B1E89">
      <w:pPr>
        <w:spacing w:after="0" w:line="240" w:lineRule="auto"/>
        <w:rPr>
          <w:b/>
          <w:sz w:val="44"/>
          <w:szCs w:val="24"/>
          <w:u w:val="single"/>
        </w:rPr>
      </w:pPr>
    </w:p>
    <w:p w:rsidR="001F5CFB" w:rsidRDefault="001F5CFB" w:rsidP="009B1E89">
      <w:pPr>
        <w:spacing w:after="0" w:line="240" w:lineRule="auto"/>
        <w:rPr>
          <w:b/>
          <w:sz w:val="44"/>
          <w:szCs w:val="24"/>
          <w:u w:val="single"/>
        </w:rPr>
      </w:pPr>
    </w:p>
    <w:p w:rsidR="001F5CFB" w:rsidRDefault="001F5CFB" w:rsidP="009B1E89">
      <w:pPr>
        <w:spacing w:after="0" w:line="240" w:lineRule="auto"/>
        <w:rPr>
          <w:b/>
          <w:sz w:val="44"/>
          <w:szCs w:val="24"/>
          <w:u w:val="single"/>
        </w:rPr>
      </w:pPr>
    </w:p>
    <w:p w:rsidR="005921BD" w:rsidRDefault="005921BD" w:rsidP="009B1E89">
      <w:pPr>
        <w:spacing w:after="0" w:line="240" w:lineRule="auto"/>
        <w:rPr>
          <w:b/>
          <w:sz w:val="44"/>
          <w:szCs w:val="24"/>
          <w:u w:val="single"/>
        </w:rPr>
      </w:pPr>
    </w:p>
    <w:p w:rsidR="005921BD" w:rsidRDefault="00A223A3" w:rsidP="009B1E89">
      <w:pPr>
        <w:spacing w:after="0" w:line="240" w:lineRule="auto"/>
        <w:rPr>
          <w:b/>
          <w:sz w:val="44"/>
          <w:szCs w:val="24"/>
        </w:rPr>
      </w:pPr>
      <w:r w:rsidRPr="00A223A3">
        <w:rPr>
          <w:b/>
          <w:noProof/>
          <w:sz w:val="44"/>
          <w:szCs w:val="24"/>
          <w:lang w:eastAsia="en-IN"/>
        </w:rPr>
        <w:drawing>
          <wp:inline distT="0" distB="0" distL="0" distR="0">
            <wp:extent cx="5923128" cy="7820025"/>
            <wp:effectExtent l="0" t="0" r="1905"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B65AAE">
        <w:rPr>
          <w:b/>
          <w:sz w:val="44"/>
          <w:szCs w:val="24"/>
          <w:u w:val="single"/>
        </w:rPr>
        <w:tab/>
      </w:r>
      <w:r w:rsidR="00B65AAE">
        <w:rPr>
          <w:b/>
          <w:sz w:val="44"/>
          <w:szCs w:val="24"/>
        </w:rPr>
        <w:tab/>
      </w:r>
      <w:r w:rsidR="00B65AAE">
        <w:rPr>
          <w:b/>
          <w:sz w:val="44"/>
          <w:szCs w:val="24"/>
        </w:rPr>
        <w:tab/>
      </w:r>
      <w:r w:rsidR="008A4EEE">
        <w:rPr>
          <w:b/>
          <w:noProof/>
          <w:sz w:val="44"/>
          <w:szCs w:val="24"/>
          <w:lang w:eastAsia="en-IN"/>
        </w:rPr>
        <w:drawing>
          <wp:inline distT="0" distB="0" distL="0" distR="0" wp14:anchorId="52E4B787" wp14:editId="2B61852B">
            <wp:extent cx="6318885" cy="7772040"/>
            <wp:effectExtent l="0" t="0" r="5715" b="63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0771C" w:rsidRDefault="0010771C" w:rsidP="009B1E89">
      <w:pPr>
        <w:spacing w:after="0" w:line="240" w:lineRule="auto"/>
        <w:rPr>
          <w:b/>
          <w:sz w:val="44"/>
          <w:szCs w:val="24"/>
        </w:rPr>
      </w:pPr>
    </w:p>
    <w:p w:rsidR="0010771C" w:rsidRDefault="0010771C" w:rsidP="0010771C">
      <w:pPr>
        <w:spacing w:after="0" w:line="240" w:lineRule="auto"/>
        <w:jc w:val="center"/>
        <w:rPr>
          <w:b/>
          <w:sz w:val="44"/>
          <w:szCs w:val="24"/>
        </w:rPr>
      </w:pPr>
      <w:r>
        <w:rPr>
          <w:b/>
          <w:noProof/>
          <w:sz w:val="44"/>
          <w:szCs w:val="24"/>
          <w:lang w:eastAsia="en-IN"/>
        </w:rPr>
        <w:lastRenderedPageBreak/>
        <w:drawing>
          <wp:inline distT="0" distB="0" distL="0" distR="0">
            <wp:extent cx="6755642" cy="7738110"/>
            <wp:effectExtent l="0" t="0" r="7620" b="1524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E103A" w:rsidRDefault="002E103A" w:rsidP="002E103A">
      <w:pPr>
        <w:spacing w:after="0" w:line="240" w:lineRule="auto"/>
        <w:rPr>
          <w:b/>
          <w:sz w:val="44"/>
          <w:szCs w:val="24"/>
        </w:rPr>
      </w:pPr>
    </w:p>
    <w:p w:rsidR="002E103A" w:rsidRDefault="002E103A" w:rsidP="002E103A">
      <w:pPr>
        <w:spacing w:after="0" w:line="240" w:lineRule="auto"/>
        <w:rPr>
          <w:b/>
          <w:sz w:val="44"/>
          <w:szCs w:val="24"/>
        </w:rPr>
      </w:pPr>
    </w:p>
    <w:p w:rsidR="002E103A" w:rsidRPr="00B65AAE" w:rsidRDefault="002E103A" w:rsidP="002E103A">
      <w:pPr>
        <w:spacing w:after="0" w:line="240" w:lineRule="auto"/>
        <w:jc w:val="center"/>
        <w:rPr>
          <w:b/>
          <w:sz w:val="44"/>
          <w:szCs w:val="24"/>
        </w:rPr>
      </w:pPr>
      <w:r>
        <w:rPr>
          <w:b/>
          <w:noProof/>
          <w:sz w:val="44"/>
          <w:szCs w:val="24"/>
          <w:lang w:eastAsia="en-IN"/>
        </w:rPr>
        <w:lastRenderedPageBreak/>
        <w:drawing>
          <wp:inline distT="0" distB="0" distL="0" distR="0">
            <wp:extent cx="8789159" cy="8147713"/>
            <wp:effectExtent l="0" t="0" r="12065" b="571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426D4" w:rsidRDefault="005426D4" w:rsidP="009B1E89">
      <w:pPr>
        <w:spacing w:after="0" w:line="240" w:lineRule="auto"/>
        <w:rPr>
          <w:b/>
          <w:sz w:val="44"/>
          <w:szCs w:val="24"/>
          <w:u w:val="single"/>
        </w:rPr>
      </w:pPr>
    </w:p>
    <w:p w:rsidR="005426D4" w:rsidRDefault="005426D4" w:rsidP="009B1E89">
      <w:pPr>
        <w:spacing w:after="0" w:line="240" w:lineRule="auto"/>
        <w:rPr>
          <w:b/>
          <w:sz w:val="44"/>
          <w:szCs w:val="24"/>
          <w:u w:val="single"/>
        </w:rPr>
      </w:pPr>
    </w:p>
    <w:p w:rsidR="005426D4" w:rsidRDefault="005426D4" w:rsidP="009B1E89">
      <w:pPr>
        <w:spacing w:after="0" w:line="240" w:lineRule="auto"/>
        <w:rPr>
          <w:b/>
          <w:sz w:val="44"/>
          <w:szCs w:val="24"/>
          <w:u w:val="single"/>
        </w:rPr>
      </w:pPr>
    </w:p>
    <w:p w:rsidR="005426D4" w:rsidRDefault="005426D4" w:rsidP="009B1E89">
      <w:pPr>
        <w:spacing w:after="0" w:line="240" w:lineRule="auto"/>
        <w:rPr>
          <w:b/>
          <w:sz w:val="44"/>
          <w:szCs w:val="24"/>
          <w:u w:val="single"/>
        </w:rPr>
      </w:pPr>
    </w:p>
    <w:p w:rsidR="009B1E89" w:rsidRDefault="000C7D39" w:rsidP="003D0607">
      <w:pPr>
        <w:spacing w:after="0" w:line="240" w:lineRule="auto"/>
        <w:jc w:val="center"/>
        <w:rPr>
          <w:b/>
          <w:sz w:val="44"/>
          <w:szCs w:val="24"/>
          <w:u w:val="single"/>
        </w:rPr>
      </w:pPr>
      <w:r>
        <w:rPr>
          <w:noProof/>
          <w:sz w:val="24"/>
          <w:szCs w:val="24"/>
          <w:lang w:eastAsia="en-IN"/>
        </w:rPr>
        <w:drawing>
          <wp:inline distT="0" distB="0" distL="0" distR="0" wp14:anchorId="4759892B" wp14:editId="50EFFE8D">
            <wp:extent cx="12659096" cy="6353299"/>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C7D39" w:rsidRDefault="000C7D39" w:rsidP="009B1E89">
      <w:pPr>
        <w:spacing w:after="0" w:line="240" w:lineRule="auto"/>
        <w:rPr>
          <w:b/>
          <w:sz w:val="44"/>
          <w:szCs w:val="24"/>
          <w:u w:val="single"/>
        </w:rPr>
      </w:pPr>
    </w:p>
    <w:p w:rsidR="000C7D39" w:rsidRDefault="000C7D39" w:rsidP="009B1E89">
      <w:pPr>
        <w:spacing w:after="0" w:line="240" w:lineRule="auto"/>
        <w:rPr>
          <w:b/>
          <w:sz w:val="44"/>
          <w:szCs w:val="24"/>
          <w:u w:val="single"/>
        </w:rPr>
      </w:pPr>
    </w:p>
    <w:p w:rsidR="000C7D39" w:rsidRDefault="000C7D39" w:rsidP="009B1E89">
      <w:pPr>
        <w:spacing w:after="0" w:line="240" w:lineRule="auto"/>
        <w:rPr>
          <w:b/>
          <w:sz w:val="44"/>
          <w:szCs w:val="24"/>
          <w:u w:val="single"/>
        </w:rPr>
      </w:pPr>
    </w:p>
    <w:p w:rsidR="000C7D39" w:rsidRDefault="000C7D39" w:rsidP="009B1E89">
      <w:pPr>
        <w:spacing w:after="0" w:line="240" w:lineRule="auto"/>
        <w:rPr>
          <w:b/>
          <w:sz w:val="44"/>
          <w:szCs w:val="24"/>
          <w:u w:val="single"/>
        </w:rPr>
      </w:pPr>
    </w:p>
    <w:p w:rsidR="000C7D39" w:rsidRDefault="000C7D39" w:rsidP="000C7D39">
      <w:pPr>
        <w:spacing w:after="0" w:line="240" w:lineRule="auto"/>
        <w:jc w:val="center"/>
        <w:rPr>
          <w:b/>
          <w:sz w:val="44"/>
          <w:szCs w:val="24"/>
          <w:u w:val="single"/>
        </w:rPr>
      </w:pPr>
      <w:r>
        <w:rPr>
          <w:noProof/>
          <w:sz w:val="24"/>
          <w:szCs w:val="24"/>
          <w:lang w:eastAsia="en-IN"/>
        </w:rPr>
        <w:lastRenderedPageBreak/>
        <w:drawing>
          <wp:inline distT="0" distB="0" distL="0" distR="0" wp14:anchorId="2DB4BF59" wp14:editId="0A1D7940">
            <wp:extent cx="8884693" cy="7260609"/>
            <wp:effectExtent l="38100" t="0" r="12065" b="1651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E5ABE" w:rsidRDefault="003E5ABE" w:rsidP="003E5ABE">
      <w:pPr>
        <w:spacing w:after="0" w:line="240" w:lineRule="auto"/>
        <w:rPr>
          <w:b/>
          <w:sz w:val="44"/>
          <w:szCs w:val="24"/>
          <w:u w:val="single"/>
        </w:rPr>
      </w:pPr>
    </w:p>
    <w:p w:rsidR="003E5ABE" w:rsidRDefault="003E5ABE" w:rsidP="003E5ABE">
      <w:pPr>
        <w:spacing w:after="0" w:line="240" w:lineRule="auto"/>
        <w:rPr>
          <w:b/>
          <w:sz w:val="44"/>
          <w:szCs w:val="24"/>
          <w:u w:val="single"/>
        </w:rPr>
      </w:pPr>
    </w:p>
    <w:p w:rsidR="003E5ABE" w:rsidRDefault="003E5ABE" w:rsidP="003E5ABE">
      <w:pPr>
        <w:spacing w:after="0" w:line="240" w:lineRule="auto"/>
        <w:rPr>
          <w:b/>
          <w:sz w:val="44"/>
          <w:szCs w:val="24"/>
          <w:u w:val="single"/>
        </w:rPr>
      </w:pPr>
    </w:p>
    <w:p w:rsidR="0002529A" w:rsidRDefault="0002529A" w:rsidP="003E5ABE">
      <w:pPr>
        <w:spacing w:after="0" w:line="240" w:lineRule="auto"/>
        <w:rPr>
          <w:b/>
          <w:noProof/>
          <w:sz w:val="44"/>
          <w:szCs w:val="24"/>
          <w:lang w:eastAsia="en-IN"/>
        </w:rPr>
      </w:pPr>
    </w:p>
    <w:p w:rsidR="0002529A" w:rsidRDefault="0002529A" w:rsidP="003E5ABE">
      <w:pPr>
        <w:spacing w:after="0" w:line="240" w:lineRule="auto"/>
        <w:rPr>
          <w:b/>
          <w:noProof/>
          <w:sz w:val="44"/>
          <w:szCs w:val="24"/>
          <w:lang w:eastAsia="en-IN"/>
        </w:rPr>
      </w:pPr>
    </w:p>
    <w:p w:rsidR="0002529A" w:rsidRDefault="0002529A" w:rsidP="003E5ABE">
      <w:pPr>
        <w:spacing w:after="0" w:line="240" w:lineRule="auto"/>
        <w:rPr>
          <w:b/>
          <w:noProof/>
          <w:sz w:val="44"/>
          <w:szCs w:val="24"/>
          <w:lang w:eastAsia="en-IN"/>
        </w:rPr>
      </w:pPr>
      <w:r>
        <w:rPr>
          <w:b/>
          <w:noProof/>
          <w:sz w:val="44"/>
          <w:szCs w:val="24"/>
          <w:lang w:eastAsia="en-IN"/>
        </w:rPr>
        <w:drawing>
          <wp:inline distT="0" distB="0" distL="0" distR="0">
            <wp:extent cx="6701051" cy="7710805"/>
            <wp:effectExtent l="0" t="0" r="5080" b="444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EF6593">
        <w:rPr>
          <w:b/>
          <w:noProof/>
          <w:sz w:val="44"/>
          <w:szCs w:val="24"/>
          <w:lang w:eastAsia="en-IN"/>
        </w:rPr>
        <w:tab/>
      </w:r>
      <w:r w:rsidR="00EF6593">
        <w:rPr>
          <w:b/>
          <w:noProof/>
          <w:sz w:val="44"/>
          <w:szCs w:val="24"/>
          <w:lang w:eastAsia="en-IN"/>
        </w:rPr>
        <w:tab/>
      </w:r>
      <w:r w:rsidR="00EF6593">
        <w:rPr>
          <w:b/>
          <w:noProof/>
          <w:sz w:val="44"/>
          <w:szCs w:val="24"/>
          <w:lang w:eastAsia="en-IN"/>
        </w:rPr>
        <w:drawing>
          <wp:inline distT="0" distB="0" distL="0" distR="0">
            <wp:extent cx="5909149" cy="6448520"/>
            <wp:effectExtent l="0" t="0" r="15875" b="952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2529A" w:rsidRDefault="0002529A" w:rsidP="003E5ABE">
      <w:pPr>
        <w:spacing w:after="0" w:line="240" w:lineRule="auto"/>
        <w:rPr>
          <w:b/>
          <w:sz w:val="44"/>
          <w:szCs w:val="24"/>
          <w:u w:val="single"/>
        </w:rPr>
      </w:pPr>
    </w:p>
    <w:p w:rsidR="0002529A" w:rsidRDefault="0002529A" w:rsidP="003E5ABE">
      <w:pPr>
        <w:spacing w:after="0" w:line="240" w:lineRule="auto"/>
        <w:rPr>
          <w:b/>
          <w:sz w:val="44"/>
          <w:szCs w:val="24"/>
          <w:u w:val="single"/>
        </w:rPr>
      </w:pPr>
    </w:p>
    <w:p w:rsidR="00E70861" w:rsidRDefault="00E75176" w:rsidP="00E70861">
      <w:pPr>
        <w:spacing w:after="0" w:line="240" w:lineRule="auto"/>
        <w:jc w:val="center"/>
        <w:rPr>
          <w:b/>
          <w:sz w:val="44"/>
          <w:szCs w:val="24"/>
        </w:rPr>
      </w:pPr>
      <w:r w:rsidRPr="00E75176">
        <w:rPr>
          <w:b/>
          <w:noProof/>
          <w:sz w:val="44"/>
          <w:szCs w:val="24"/>
          <w:lang w:eastAsia="en-IN"/>
        </w:rPr>
        <w:lastRenderedPageBreak/>
        <w:drawing>
          <wp:inline distT="0" distB="0" distL="0" distR="0">
            <wp:extent cx="5527344" cy="6709410"/>
            <wp:effectExtent l="0" t="0" r="16510" b="1524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03337" w:rsidRDefault="00E70861" w:rsidP="00E70861">
      <w:pPr>
        <w:spacing w:after="0" w:line="240" w:lineRule="auto"/>
        <w:jc w:val="center"/>
        <w:rPr>
          <w:b/>
          <w:sz w:val="44"/>
          <w:szCs w:val="24"/>
        </w:rPr>
      </w:pPr>
      <w:r>
        <w:rPr>
          <w:b/>
          <w:noProof/>
          <w:sz w:val="44"/>
          <w:szCs w:val="24"/>
          <w:lang w:eastAsia="en-IN"/>
        </w:rPr>
        <w:lastRenderedPageBreak/>
        <w:drawing>
          <wp:inline distT="0" distB="0" distL="0" distR="0" wp14:anchorId="55213847" wp14:editId="7678EE5B">
            <wp:extent cx="3372485" cy="4081244"/>
            <wp:effectExtent l="0" t="0" r="18415" b="1460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b/>
          <w:sz w:val="44"/>
          <w:szCs w:val="24"/>
        </w:rPr>
        <w:tab/>
      </w:r>
      <w:r>
        <w:rPr>
          <w:b/>
          <w:sz w:val="44"/>
          <w:szCs w:val="24"/>
        </w:rPr>
        <w:tab/>
      </w:r>
      <w:r>
        <w:rPr>
          <w:b/>
          <w:sz w:val="44"/>
          <w:szCs w:val="24"/>
        </w:rPr>
        <w:tab/>
      </w:r>
      <w:r>
        <w:rPr>
          <w:b/>
          <w:noProof/>
          <w:sz w:val="44"/>
          <w:szCs w:val="24"/>
          <w:lang w:eastAsia="en-IN"/>
        </w:rPr>
        <w:drawing>
          <wp:inline distT="0" distB="0" distL="0" distR="0" wp14:anchorId="718EAAC5" wp14:editId="093A4A18">
            <wp:extent cx="7069540" cy="6454775"/>
            <wp:effectExtent l="0" t="0" r="17145" b="317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085789">
        <w:rPr>
          <w:b/>
          <w:noProof/>
          <w:sz w:val="44"/>
          <w:szCs w:val="24"/>
          <w:lang w:eastAsia="en-IN"/>
        </w:rPr>
        <w:lastRenderedPageBreak/>
        <w:drawing>
          <wp:inline distT="0" distB="0" distL="0" distR="0" wp14:anchorId="50C8AC9E" wp14:editId="3D9308DC">
            <wp:extent cx="5773003" cy="6698615"/>
            <wp:effectExtent l="0" t="0" r="18415" b="698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91347" w:rsidRDefault="00E91347" w:rsidP="00E70861">
      <w:pPr>
        <w:spacing w:after="0" w:line="240" w:lineRule="auto"/>
        <w:jc w:val="center"/>
        <w:rPr>
          <w:b/>
          <w:sz w:val="44"/>
          <w:szCs w:val="24"/>
        </w:rPr>
      </w:pPr>
    </w:p>
    <w:p w:rsidR="00E91347" w:rsidRDefault="00E91347" w:rsidP="00E70861">
      <w:pPr>
        <w:spacing w:after="0" w:line="240" w:lineRule="auto"/>
        <w:jc w:val="center"/>
        <w:rPr>
          <w:b/>
          <w:sz w:val="44"/>
          <w:szCs w:val="24"/>
        </w:rPr>
      </w:pPr>
    </w:p>
    <w:p w:rsidR="00E91347" w:rsidRDefault="00E91347" w:rsidP="00E70861">
      <w:pPr>
        <w:spacing w:after="0" w:line="240" w:lineRule="auto"/>
        <w:jc w:val="center"/>
        <w:rPr>
          <w:b/>
          <w:sz w:val="44"/>
          <w:szCs w:val="24"/>
        </w:rPr>
      </w:pPr>
    </w:p>
    <w:p w:rsidR="00E91347" w:rsidRDefault="00E91347" w:rsidP="00E70861">
      <w:pPr>
        <w:spacing w:after="0" w:line="240" w:lineRule="auto"/>
        <w:jc w:val="center"/>
        <w:rPr>
          <w:b/>
          <w:sz w:val="44"/>
          <w:szCs w:val="24"/>
        </w:rPr>
      </w:pPr>
    </w:p>
    <w:p w:rsidR="00E91347" w:rsidRDefault="00E91347" w:rsidP="00E70861">
      <w:pPr>
        <w:spacing w:after="0" w:line="240" w:lineRule="auto"/>
        <w:jc w:val="center"/>
        <w:rPr>
          <w:b/>
          <w:sz w:val="44"/>
          <w:szCs w:val="24"/>
        </w:rPr>
      </w:pPr>
    </w:p>
    <w:p w:rsidR="00E91347" w:rsidRDefault="00E91347" w:rsidP="00E91347">
      <w:pPr>
        <w:spacing w:after="0" w:line="240" w:lineRule="auto"/>
        <w:rPr>
          <w:b/>
          <w:sz w:val="44"/>
          <w:szCs w:val="24"/>
        </w:rPr>
      </w:pPr>
    </w:p>
    <w:p w:rsidR="00EF4988" w:rsidRDefault="00E91347" w:rsidP="007E3971">
      <w:pPr>
        <w:spacing w:after="0" w:line="240" w:lineRule="auto"/>
        <w:rPr>
          <w:b/>
          <w:sz w:val="44"/>
          <w:szCs w:val="24"/>
        </w:rPr>
      </w:pPr>
      <w:r>
        <w:rPr>
          <w:b/>
          <w:noProof/>
          <w:sz w:val="44"/>
          <w:szCs w:val="24"/>
          <w:lang w:eastAsia="en-IN"/>
        </w:rPr>
        <w:lastRenderedPageBreak/>
        <w:drawing>
          <wp:inline distT="0" distB="0" distL="0" distR="0" wp14:anchorId="734CBDBA" wp14:editId="62178673">
            <wp:extent cx="5486400" cy="8241475"/>
            <wp:effectExtent l="0" t="0" r="0" b="762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b/>
          <w:sz w:val="44"/>
          <w:szCs w:val="24"/>
        </w:rPr>
        <w:tab/>
      </w:r>
      <w:r w:rsidR="006A3C4B">
        <w:rPr>
          <w:b/>
          <w:sz w:val="44"/>
          <w:szCs w:val="24"/>
        </w:rPr>
        <w:tab/>
      </w:r>
      <w:r w:rsidR="006A3C4B">
        <w:rPr>
          <w:b/>
          <w:sz w:val="44"/>
          <w:szCs w:val="24"/>
        </w:rPr>
        <w:tab/>
      </w:r>
      <w:r>
        <w:rPr>
          <w:b/>
          <w:noProof/>
          <w:sz w:val="44"/>
          <w:szCs w:val="24"/>
          <w:lang w:eastAsia="en-IN"/>
        </w:rPr>
        <w:drawing>
          <wp:inline distT="0" distB="0" distL="0" distR="0" wp14:anchorId="6DC8E235" wp14:editId="4E9AFEDE">
            <wp:extent cx="4821381" cy="4340225"/>
            <wp:effectExtent l="0" t="0" r="17780" b="3175"/>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b/>
          <w:sz w:val="44"/>
          <w:szCs w:val="24"/>
        </w:rPr>
        <w:t xml:space="preserve"> </w:t>
      </w:r>
      <w:r w:rsidRPr="00B03510">
        <w:rPr>
          <w:b/>
          <w:noProof/>
          <w:sz w:val="24"/>
          <w:szCs w:val="24"/>
          <w:lang w:eastAsia="en-IN"/>
        </w:rPr>
        <w:lastRenderedPageBreak/>
        <w:drawing>
          <wp:inline distT="0" distB="0" distL="0" distR="0" wp14:anchorId="0C4E5DA4" wp14:editId="356B26E8">
            <wp:extent cx="5735782" cy="3669475"/>
            <wp:effectExtent l="0" t="0" r="17780" b="762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Pr>
          <w:b/>
          <w:sz w:val="44"/>
          <w:szCs w:val="24"/>
        </w:rPr>
        <w:tab/>
      </w:r>
      <w:r>
        <w:rPr>
          <w:b/>
          <w:sz w:val="44"/>
          <w:szCs w:val="24"/>
        </w:rPr>
        <w:tab/>
      </w:r>
      <w:r w:rsidR="002C42A0">
        <w:rPr>
          <w:b/>
          <w:sz w:val="44"/>
          <w:szCs w:val="24"/>
        </w:rPr>
        <w:tab/>
      </w:r>
      <w:r w:rsidR="002955CF">
        <w:rPr>
          <w:b/>
          <w:noProof/>
          <w:sz w:val="44"/>
          <w:szCs w:val="24"/>
          <w:lang w:eastAsia="en-IN"/>
        </w:rPr>
        <w:drawing>
          <wp:inline distT="0" distB="0" distL="0" distR="0">
            <wp:extent cx="6032310" cy="8217535"/>
            <wp:effectExtent l="0" t="0" r="6985" b="1206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F4988" w:rsidRDefault="00EF4988" w:rsidP="007E3971">
      <w:pPr>
        <w:spacing w:after="0" w:line="240" w:lineRule="auto"/>
        <w:rPr>
          <w:b/>
          <w:sz w:val="44"/>
          <w:szCs w:val="24"/>
        </w:rPr>
      </w:pPr>
    </w:p>
    <w:p w:rsidR="00EF4988" w:rsidRDefault="00EF4988" w:rsidP="007E3971">
      <w:pPr>
        <w:spacing w:after="0" w:line="240" w:lineRule="auto"/>
        <w:rPr>
          <w:b/>
          <w:sz w:val="44"/>
          <w:szCs w:val="24"/>
        </w:rPr>
      </w:pPr>
      <w:r>
        <w:rPr>
          <w:b/>
          <w:noProof/>
          <w:sz w:val="44"/>
          <w:szCs w:val="24"/>
          <w:lang w:eastAsia="en-IN"/>
        </w:rPr>
        <w:lastRenderedPageBreak/>
        <w:drawing>
          <wp:inline distT="0" distB="0" distL="0" distR="0" wp14:anchorId="76AAD78E" wp14:editId="131C67A9">
            <wp:extent cx="5486400" cy="7849590"/>
            <wp:effectExtent l="0" t="0" r="0" b="1841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Pr>
          <w:b/>
          <w:sz w:val="44"/>
          <w:szCs w:val="24"/>
        </w:rPr>
        <w:tab/>
      </w:r>
      <w:r>
        <w:rPr>
          <w:b/>
          <w:noProof/>
          <w:sz w:val="44"/>
          <w:szCs w:val="24"/>
          <w:lang w:eastAsia="en-IN"/>
        </w:rPr>
        <w:drawing>
          <wp:inline distT="0" distB="0" distL="0" distR="0" wp14:anchorId="38759ECD" wp14:editId="135A01E8">
            <wp:extent cx="6305266" cy="5597525"/>
            <wp:effectExtent l="0" t="0" r="635" b="317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F4988" w:rsidRDefault="00EF4988" w:rsidP="007E3971">
      <w:pPr>
        <w:spacing w:after="0" w:line="240" w:lineRule="auto"/>
        <w:rPr>
          <w:b/>
          <w:sz w:val="44"/>
          <w:szCs w:val="24"/>
        </w:rPr>
      </w:pPr>
    </w:p>
    <w:p w:rsidR="00EF4988" w:rsidRDefault="00EF4988" w:rsidP="007E3971">
      <w:pPr>
        <w:spacing w:after="0" w:line="240" w:lineRule="auto"/>
        <w:rPr>
          <w:b/>
          <w:sz w:val="44"/>
          <w:szCs w:val="24"/>
        </w:rPr>
      </w:pPr>
    </w:p>
    <w:p w:rsidR="00EF4988" w:rsidRDefault="00EF4988" w:rsidP="00EF4988">
      <w:pPr>
        <w:spacing w:after="0" w:line="240" w:lineRule="auto"/>
        <w:ind w:firstLine="720"/>
        <w:rPr>
          <w:b/>
          <w:sz w:val="44"/>
          <w:szCs w:val="24"/>
        </w:rPr>
      </w:pPr>
      <w:r w:rsidRPr="00BF4677">
        <w:rPr>
          <w:b/>
          <w:noProof/>
          <w:sz w:val="28"/>
          <w:szCs w:val="28"/>
          <w:lang w:eastAsia="en-IN"/>
        </w:rPr>
        <w:lastRenderedPageBreak/>
        <w:drawing>
          <wp:inline distT="0" distB="0" distL="0" distR="0" wp14:anchorId="11C974FC" wp14:editId="7899AC07">
            <wp:extent cx="5882185" cy="6757035"/>
            <wp:effectExtent l="0" t="0" r="4445" b="571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b/>
          <w:sz w:val="44"/>
          <w:szCs w:val="24"/>
        </w:rPr>
        <w:tab/>
      </w:r>
      <w:r>
        <w:rPr>
          <w:b/>
          <w:sz w:val="44"/>
          <w:szCs w:val="24"/>
        </w:rPr>
        <w:tab/>
      </w:r>
      <w:r w:rsidRPr="00BF4677">
        <w:rPr>
          <w:b/>
          <w:noProof/>
          <w:sz w:val="28"/>
          <w:szCs w:val="28"/>
          <w:lang w:eastAsia="en-IN"/>
        </w:rPr>
        <w:drawing>
          <wp:inline distT="0" distB="0" distL="0" distR="0" wp14:anchorId="2C7C8E41" wp14:editId="416A22E3">
            <wp:extent cx="6234430" cy="5130141"/>
            <wp:effectExtent l="0" t="0" r="13970" b="1397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85789" w:rsidRDefault="007E3971" w:rsidP="00EF4988">
      <w:pPr>
        <w:spacing w:after="0" w:line="240" w:lineRule="auto"/>
        <w:jc w:val="center"/>
        <w:rPr>
          <w:b/>
          <w:sz w:val="44"/>
          <w:szCs w:val="24"/>
        </w:rPr>
      </w:pPr>
      <w:r w:rsidRPr="003E5ABE">
        <w:rPr>
          <w:b/>
          <w:noProof/>
          <w:sz w:val="44"/>
          <w:szCs w:val="24"/>
          <w:lang w:eastAsia="en-IN"/>
        </w:rPr>
        <w:lastRenderedPageBreak/>
        <w:drawing>
          <wp:inline distT="0" distB="0" distL="0" distR="0" wp14:anchorId="259F4E2A" wp14:editId="6B8677A6">
            <wp:extent cx="7601803" cy="8038465"/>
            <wp:effectExtent l="0" t="0" r="18415" b="63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B35ED" w:rsidRDefault="00DB35ED" w:rsidP="007E3971">
      <w:pPr>
        <w:spacing w:after="0" w:line="240" w:lineRule="auto"/>
        <w:rPr>
          <w:b/>
          <w:sz w:val="44"/>
          <w:szCs w:val="24"/>
        </w:rPr>
      </w:pPr>
    </w:p>
    <w:p w:rsidR="00DB35ED" w:rsidRDefault="00B03510" w:rsidP="007E3971">
      <w:pPr>
        <w:spacing w:after="0" w:line="240" w:lineRule="auto"/>
        <w:rPr>
          <w:b/>
          <w:sz w:val="44"/>
          <w:szCs w:val="24"/>
        </w:rPr>
      </w:pPr>
      <w:r>
        <w:rPr>
          <w:b/>
          <w:sz w:val="44"/>
          <w:szCs w:val="24"/>
        </w:rPr>
        <w:tab/>
      </w:r>
      <w:r>
        <w:rPr>
          <w:b/>
          <w:sz w:val="44"/>
          <w:szCs w:val="24"/>
        </w:rPr>
        <w:tab/>
      </w:r>
      <w:r>
        <w:rPr>
          <w:b/>
          <w:sz w:val="44"/>
          <w:szCs w:val="24"/>
        </w:rPr>
        <w:tab/>
      </w:r>
    </w:p>
    <w:p w:rsidR="003B3CA3" w:rsidRDefault="003D6B61" w:rsidP="00EF4988">
      <w:pPr>
        <w:spacing w:after="0" w:line="240" w:lineRule="auto"/>
        <w:rPr>
          <w:b/>
          <w:sz w:val="44"/>
          <w:szCs w:val="24"/>
        </w:rPr>
      </w:pPr>
      <w:r>
        <w:rPr>
          <w:b/>
          <w:sz w:val="44"/>
          <w:szCs w:val="24"/>
        </w:rPr>
        <w:lastRenderedPageBreak/>
        <w:tab/>
      </w:r>
      <w:r>
        <w:rPr>
          <w:b/>
          <w:sz w:val="44"/>
          <w:szCs w:val="24"/>
        </w:rPr>
        <w:tab/>
      </w:r>
      <w:r w:rsidR="003B3CA3">
        <w:rPr>
          <w:b/>
          <w:noProof/>
          <w:sz w:val="44"/>
          <w:szCs w:val="24"/>
          <w:lang w:eastAsia="en-IN"/>
        </w:rPr>
        <w:drawing>
          <wp:inline distT="0" distB="0" distL="0" distR="0" wp14:anchorId="084284D0" wp14:editId="7AEDCC5E">
            <wp:extent cx="12610465" cy="7942997"/>
            <wp:effectExtent l="0" t="0" r="635" b="127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B3CA3" w:rsidRDefault="003B3CA3" w:rsidP="003B3CA3">
      <w:pPr>
        <w:spacing w:after="0" w:line="240" w:lineRule="auto"/>
        <w:ind w:left="720" w:firstLine="720"/>
        <w:rPr>
          <w:b/>
          <w:sz w:val="44"/>
          <w:szCs w:val="24"/>
        </w:rPr>
      </w:pPr>
      <w:r>
        <w:rPr>
          <w:b/>
          <w:sz w:val="24"/>
          <w:szCs w:val="24"/>
        </w:rPr>
        <w:t>NR = Data not reported</w:t>
      </w:r>
    </w:p>
    <w:p w:rsidR="002C42A0" w:rsidRDefault="00921A36" w:rsidP="00120DC7">
      <w:pPr>
        <w:spacing w:after="0" w:line="240" w:lineRule="auto"/>
        <w:ind w:firstLine="720"/>
        <w:rPr>
          <w:b/>
          <w:sz w:val="44"/>
          <w:szCs w:val="24"/>
        </w:rPr>
      </w:pPr>
      <w:r>
        <w:rPr>
          <w:b/>
          <w:noProof/>
          <w:sz w:val="44"/>
          <w:szCs w:val="24"/>
          <w:lang w:eastAsia="en-IN"/>
        </w:rPr>
        <w:lastRenderedPageBreak/>
        <w:drawing>
          <wp:inline distT="0" distB="0" distL="0" distR="0">
            <wp:extent cx="12787630" cy="8312727"/>
            <wp:effectExtent l="0" t="0" r="13970" b="1270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C02DA" w:rsidRDefault="002C02DA" w:rsidP="00120DC7">
      <w:pPr>
        <w:spacing w:after="0" w:line="240" w:lineRule="auto"/>
        <w:ind w:firstLine="720"/>
        <w:rPr>
          <w:b/>
          <w:sz w:val="24"/>
          <w:szCs w:val="24"/>
        </w:rPr>
      </w:pPr>
      <w:r>
        <w:rPr>
          <w:b/>
          <w:sz w:val="44"/>
          <w:szCs w:val="24"/>
        </w:rPr>
        <w:tab/>
      </w:r>
      <w:r>
        <w:rPr>
          <w:b/>
          <w:sz w:val="24"/>
          <w:szCs w:val="24"/>
        </w:rPr>
        <w:t>NR = Data not reported</w:t>
      </w:r>
    </w:p>
    <w:p w:rsidR="00A464E0" w:rsidRDefault="00A464E0" w:rsidP="00120DC7">
      <w:pPr>
        <w:spacing w:after="0" w:line="240" w:lineRule="auto"/>
        <w:ind w:firstLine="720"/>
        <w:rPr>
          <w:b/>
          <w:sz w:val="44"/>
          <w:szCs w:val="24"/>
        </w:rPr>
      </w:pPr>
      <w:r w:rsidRPr="00BF344F">
        <w:rPr>
          <w:b/>
          <w:noProof/>
          <w:sz w:val="24"/>
          <w:szCs w:val="24"/>
          <w:lang w:eastAsia="en-IN"/>
        </w:rPr>
        <w:lastRenderedPageBreak/>
        <w:drawing>
          <wp:inline distT="0" distB="0" distL="0" distR="0" wp14:anchorId="155D30D8" wp14:editId="332780BF">
            <wp:extent cx="6246420" cy="7279005"/>
            <wp:effectExtent l="0" t="0" r="2540" b="1714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00537D41">
        <w:rPr>
          <w:b/>
          <w:sz w:val="44"/>
          <w:szCs w:val="24"/>
        </w:rPr>
        <w:tab/>
      </w:r>
      <w:r w:rsidR="00537D41">
        <w:rPr>
          <w:b/>
          <w:sz w:val="44"/>
          <w:szCs w:val="24"/>
        </w:rPr>
        <w:tab/>
      </w:r>
      <w:r w:rsidR="00537D41">
        <w:rPr>
          <w:b/>
          <w:sz w:val="44"/>
          <w:szCs w:val="24"/>
        </w:rPr>
        <w:tab/>
      </w:r>
      <w:r w:rsidR="00537D41">
        <w:rPr>
          <w:b/>
          <w:noProof/>
          <w:sz w:val="44"/>
          <w:szCs w:val="24"/>
          <w:lang w:eastAsia="en-IN"/>
        </w:rPr>
        <w:drawing>
          <wp:inline distT="0" distB="0" distL="0" distR="0">
            <wp:extent cx="5486400" cy="7285512"/>
            <wp:effectExtent l="0" t="0" r="0" b="10795"/>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97E0A" w:rsidRDefault="00097E0A" w:rsidP="00120DC7">
      <w:pPr>
        <w:spacing w:after="0" w:line="240" w:lineRule="auto"/>
        <w:ind w:firstLine="720"/>
        <w:rPr>
          <w:b/>
          <w:sz w:val="44"/>
          <w:szCs w:val="24"/>
        </w:rPr>
      </w:pPr>
    </w:p>
    <w:p w:rsidR="00097E0A" w:rsidRDefault="00097E0A" w:rsidP="00120DC7">
      <w:pPr>
        <w:spacing w:after="0" w:line="240" w:lineRule="auto"/>
        <w:ind w:firstLine="720"/>
        <w:rPr>
          <w:b/>
          <w:sz w:val="44"/>
          <w:szCs w:val="24"/>
        </w:rPr>
      </w:pPr>
    </w:p>
    <w:p w:rsidR="00097E0A" w:rsidRDefault="00097E0A" w:rsidP="00120DC7">
      <w:pPr>
        <w:spacing w:after="0" w:line="240" w:lineRule="auto"/>
        <w:ind w:firstLine="720"/>
        <w:rPr>
          <w:b/>
          <w:sz w:val="44"/>
          <w:szCs w:val="24"/>
        </w:rPr>
      </w:pPr>
    </w:p>
    <w:p w:rsidR="00097E0A" w:rsidRDefault="00097E0A" w:rsidP="00120DC7">
      <w:pPr>
        <w:spacing w:after="0" w:line="240" w:lineRule="auto"/>
        <w:ind w:firstLine="720"/>
        <w:rPr>
          <w:b/>
          <w:sz w:val="44"/>
          <w:szCs w:val="24"/>
        </w:rPr>
      </w:pPr>
    </w:p>
    <w:p w:rsidR="00207100" w:rsidRDefault="00097E0A" w:rsidP="00120DC7">
      <w:pPr>
        <w:spacing w:after="0" w:line="240" w:lineRule="auto"/>
        <w:ind w:firstLine="720"/>
        <w:rPr>
          <w:b/>
          <w:noProof/>
          <w:sz w:val="44"/>
          <w:szCs w:val="24"/>
          <w:lang w:eastAsia="en-IN"/>
        </w:rPr>
      </w:pPr>
      <w:r>
        <w:rPr>
          <w:b/>
          <w:noProof/>
          <w:sz w:val="44"/>
          <w:szCs w:val="24"/>
          <w:lang w:eastAsia="en-IN"/>
        </w:rPr>
        <w:lastRenderedPageBreak/>
        <w:drawing>
          <wp:inline distT="0" distB="0" distL="0" distR="0">
            <wp:extent cx="6741994" cy="8359775"/>
            <wp:effectExtent l="0" t="0" r="1905" b="3175"/>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00EC6596">
        <w:rPr>
          <w:b/>
          <w:sz w:val="44"/>
          <w:szCs w:val="24"/>
        </w:rPr>
        <w:tab/>
      </w:r>
      <w:r w:rsidR="00EC6596">
        <w:rPr>
          <w:b/>
          <w:sz w:val="44"/>
          <w:szCs w:val="24"/>
        </w:rPr>
        <w:tab/>
      </w:r>
      <w:r w:rsidR="00CA27B8">
        <w:rPr>
          <w:b/>
          <w:noProof/>
          <w:sz w:val="44"/>
          <w:szCs w:val="24"/>
          <w:lang w:eastAsia="en-IN"/>
        </w:rPr>
        <w:drawing>
          <wp:inline distT="0" distB="0" distL="0" distR="0">
            <wp:extent cx="5390515" cy="4094329"/>
            <wp:effectExtent l="0" t="0" r="635" b="190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00CA27B8">
        <w:rPr>
          <w:b/>
          <w:sz w:val="44"/>
          <w:szCs w:val="24"/>
        </w:rPr>
        <w:tab/>
      </w:r>
      <w:r w:rsidR="00CA27B8">
        <w:rPr>
          <w:b/>
          <w:sz w:val="44"/>
          <w:szCs w:val="24"/>
        </w:rPr>
        <w:tab/>
      </w:r>
    </w:p>
    <w:p w:rsidR="00CA27B8" w:rsidRDefault="00207100" w:rsidP="00120DC7">
      <w:pPr>
        <w:spacing w:after="0" w:line="240" w:lineRule="auto"/>
        <w:ind w:firstLine="720"/>
        <w:rPr>
          <w:b/>
          <w:sz w:val="44"/>
          <w:szCs w:val="24"/>
        </w:rPr>
      </w:pPr>
      <w:r>
        <w:rPr>
          <w:b/>
          <w:noProof/>
          <w:sz w:val="44"/>
          <w:szCs w:val="24"/>
          <w:lang w:eastAsia="en-IN"/>
        </w:rPr>
        <w:lastRenderedPageBreak/>
        <w:drawing>
          <wp:inline distT="0" distB="0" distL="0" distR="0">
            <wp:extent cx="5213445" cy="2849880"/>
            <wp:effectExtent l="0" t="0" r="6350" b="762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003E2370">
        <w:rPr>
          <w:b/>
          <w:sz w:val="44"/>
          <w:szCs w:val="24"/>
        </w:rPr>
        <w:tab/>
      </w:r>
      <w:r w:rsidR="003E2370">
        <w:rPr>
          <w:b/>
          <w:sz w:val="44"/>
          <w:szCs w:val="24"/>
        </w:rPr>
        <w:tab/>
      </w:r>
      <w:r w:rsidR="003E2370">
        <w:rPr>
          <w:b/>
          <w:noProof/>
          <w:sz w:val="44"/>
          <w:szCs w:val="24"/>
          <w:lang w:eastAsia="en-IN"/>
        </w:rPr>
        <w:drawing>
          <wp:inline distT="0" distB="0" distL="0" distR="0">
            <wp:extent cx="6543304" cy="4446905"/>
            <wp:effectExtent l="0" t="0" r="10160" b="10795"/>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85789" w:rsidRDefault="00085789" w:rsidP="00120DC7">
      <w:pPr>
        <w:spacing w:after="0" w:line="240" w:lineRule="auto"/>
        <w:ind w:firstLine="720"/>
        <w:rPr>
          <w:b/>
          <w:sz w:val="44"/>
          <w:szCs w:val="24"/>
        </w:rPr>
      </w:pPr>
    </w:p>
    <w:p w:rsidR="003B3CA3" w:rsidRDefault="003B3CA3" w:rsidP="00120DC7">
      <w:pPr>
        <w:spacing w:after="0" w:line="240" w:lineRule="auto"/>
        <w:ind w:firstLine="720"/>
        <w:rPr>
          <w:b/>
          <w:sz w:val="44"/>
          <w:szCs w:val="24"/>
        </w:rPr>
      </w:pPr>
    </w:p>
    <w:p w:rsidR="003B3CA3" w:rsidRDefault="003B3CA3" w:rsidP="00120DC7">
      <w:pPr>
        <w:spacing w:after="0" w:line="240" w:lineRule="auto"/>
        <w:ind w:firstLine="720"/>
        <w:rPr>
          <w:b/>
          <w:sz w:val="44"/>
          <w:szCs w:val="24"/>
        </w:rPr>
      </w:pPr>
    </w:p>
    <w:p w:rsidR="003B3CA3" w:rsidRDefault="003B3CA3" w:rsidP="00120DC7">
      <w:pPr>
        <w:spacing w:after="0" w:line="240" w:lineRule="auto"/>
        <w:ind w:firstLine="720"/>
        <w:rPr>
          <w:b/>
          <w:sz w:val="44"/>
          <w:szCs w:val="24"/>
        </w:rPr>
      </w:pPr>
    </w:p>
    <w:p w:rsidR="003B3CA3" w:rsidRDefault="003B3CA3" w:rsidP="00120DC7">
      <w:pPr>
        <w:spacing w:after="0" w:line="240" w:lineRule="auto"/>
        <w:ind w:firstLine="720"/>
        <w:rPr>
          <w:b/>
          <w:sz w:val="44"/>
          <w:szCs w:val="24"/>
        </w:rPr>
      </w:pPr>
    </w:p>
    <w:p w:rsidR="003B3CA3" w:rsidRDefault="003B3CA3" w:rsidP="00120DC7">
      <w:pPr>
        <w:spacing w:after="0" w:line="240" w:lineRule="auto"/>
        <w:ind w:firstLine="720"/>
        <w:rPr>
          <w:b/>
          <w:sz w:val="44"/>
          <w:szCs w:val="24"/>
        </w:rPr>
      </w:pPr>
    </w:p>
    <w:p w:rsidR="00EC6596" w:rsidRDefault="00EC6596" w:rsidP="00120DC7">
      <w:pPr>
        <w:spacing w:after="0" w:line="240" w:lineRule="auto"/>
        <w:ind w:firstLine="720"/>
        <w:rPr>
          <w:b/>
          <w:sz w:val="44"/>
          <w:szCs w:val="24"/>
        </w:rPr>
      </w:pPr>
      <w:r>
        <w:rPr>
          <w:b/>
          <w:sz w:val="44"/>
          <w:szCs w:val="24"/>
        </w:rPr>
        <w:tab/>
      </w:r>
      <w:r>
        <w:rPr>
          <w:b/>
          <w:sz w:val="44"/>
          <w:szCs w:val="24"/>
        </w:rPr>
        <w:tab/>
      </w:r>
      <w:r>
        <w:rPr>
          <w:b/>
          <w:sz w:val="44"/>
          <w:szCs w:val="24"/>
        </w:rPr>
        <w:tab/>
      </w:r>
    </w:p>
    <w:p w:rsidR="00CC75A5" w:rsidRDefault="00CC75A5" w:rsidP="00120DC7">
      <w:pPr>
        <w:spacing w:after="0" w:line="240" w:lineRule="auto"/>
        <w:ind w:firstLine="720"/>
        <w:rPr>
          <w:b/>
          <w:sz w:val="44"/>
          <w:szCs w:val="24"/>
        </w:rPr>
      </w:pPr>
    </w:p>
    <w:p w:rsidR="00CC75A5" w:rsidRDefault="00CC75A5" w:rsidP="00120DC7">
      <w:pPr>
        <w:spacing w:after="0" w:line="240" w:lineRule="auto"/>
        <w:ind w:firstLine="720"/>
        <w:rPr>
          <w:b/>
          <w:sz w:val="44"/>
          <w:szCs w:val="24"/>
        </w:rPr>
      </w:pPr>
    </w:p>
    <w:p w:rsidR="00CC75A5" w:rsidRDefault="00CC75A5" w:rsidP="00120DC7">
      <w:pPr>
        <w:spacing w:after="0" w:line="240" w:lineRule="auto"/>
        <w:ind w:firstLine="720"/>
        <w:rPr>
          <w:b/>
          <w:sz w:val="44"/>
          <w:szCs w:val="24"/>
        </w:rPr>
      </w:pPr>
    </w:p>
    <w:p w:rsidR="00CC75A5" w:rsidRDefault="00CC75A5" w:rsidP="00120DC7">
      <w:pPr>
        <w:spacing w:after="0" w:line="240" w:lineRule="auto"/>
        <w:ind w:firstLine="720"/>
        <w:rPr>
          <w:b/>
          <w:sz w:val="44"/>
          <w:szCs w:val="24"/>
        </w:rPr>
      </w:pPr>
    </w:p>
    <w:p w:rsidR="00CC75A5" w:rsidRDefault="00DB35ED" w:rsidP="00120DC7">
      <w:pPr>
        <w:spacing w:after="0" w:line="240" w:lineRule="auto"/>
        <w:ind w:firstLine="720"/>
        <w:rPr>
          <w:b/>
          <w:sz w:val="44"/>
          <w:szCs w:val="24"/>
        </w:rPr>
      </w:pPr>
      <w:r>
        <w:rPr>
          <w:b/>
          <w:sz w:val="44"/>
          <w:szCs w:val="24"/>
        </w:rPr>
        <w:tab/>
      </w:r>
      <w:r>
        <w:rPr>
          <w:b/>
          <w:sz w:val="44"/>
          <w:szCs w:val="24"/>
        </w:rPr>
        <w:tab/>
      </w:r>
    </w:p>
    <w:p w:rsidR="009B1E89" w:rsidRDefault="009B1E89" w:rsidP="009B1E89">
      <w:pPr>
        <w:spacing w:after="0" w:line="240" w:lineRule="auto"/>
        <w:rPr>
          <w:b/>
          <w:sz w:val="24"/>
          <w:szCs w:val="24"/>
          <w:u w:val="single"/>
        </w:rPr>
      </w:pPr>
      <w:r w:rsidRPr="002C02DA">
        <w:rPr>
          <w:b/>
          <w:noProof/>
          <w:sz w:val="24"/>
          <w:szCs w:val="24"/>
          <w:lang w:eastAsia="en-IN"/>
        </w:rPr>
        <w:lastRenderedPageBreak/>
        <w:drawing>
          <wp:inline distT="0" distB="0" distL="0" distR="0">
            <wp:extent cx="12910782" cy="7792872"/>
            <wp:effectExtent l="0" t="0" r="5715" b="1778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C02DA" w:rsidRDefault="002C02DA" w:rsidP="002C02DA">
      <w:pPr>
        <w:spacing w:after="0" w:line="240" w:lineRule="auto"/>
        <w:ind w:firstLine="720"/>
        <w:rPr>
          <w:b/>
          <w:sz w:val="24"/>
          <w:szCs w:val="24"/>
          <w:u w:val="single"/>
        </w:rPr>
      </w:pPr>
      <w:r>
        <w:rPr>
          <w:b/>
          <w:sz w:val="24"/>
          <w:szCs w:val="24"/>
        </w:rPr>
        <w:t>NR = Data not reported</w:t>
      </w:r>
    </w:p>
    <w:p w:rsidR="000C7D39" w:rsidRDefault="000C7D39" w:rsidP="009B1E89">
      <w:pPr>
        <w:spacing w:after="0" w:line="240" w:lineRule="auto"/>
        <w:rPr>
          <w:b/>
          <w:sz w:val="24"/>
          <w:szCs w:val="24"/>
          <w:u w:val="single"/>
        </w:rPr>
      </w:pPr>
    </w:p>
    <w:p w:rsidR="000C7D39" w:rsidRDefault="000C7D39" w:rsidP="009B1E89">
      <w:pPr>
        <w:spacing w:after="0" w:line="240" w:lineRule="auto"/>
        <w:rPr>
          <w:b/>
          <w:sz w:val="24"/>
          <w:szCs w:val="24"/>
          <w:u w:val="single"/>
        </w:rPr>
      </w:pPr>
    </w:p>
    <w:p w:rsidR="00DB5F69" w:rsidRDefault="00DB5F69" w:rsidP="009B1E89">
      <w:pPr>
        <w:spacing w:after="0" w:line="240" w:lineRule="auto"/>
        <w:rPr>
          <w:b/>
          <w:sz w:val="24"/>
          <w:szCs w:val="24"/>
          <w:u w:val="single"/>
        </w:rPr>
      </w:pPr>
    </w:p>
    <w:p w:rsidR="00DB5F69" w:rsidRDefault="00DB5F69" w:rsidP="009B1E89">
      <w:pPr>
        <w:spacing w:after="0" w:line="240" w:lineRule="auto"/>
        <w:rPr>
          <w:b/>
          <w:sz w:val="24"/>
          <w:szCs w:val="24"/>
          <w:u w:val="single"/>
        </w:rPr>
      </w:pPr>
    </w:p>
    <w:p w:rsidR="002430FC" w:rsidRDefault="002430FC" w:rsidP="009B1E89">
      <w:pPr>
        <w:spacing w:after="0" w:line="240" w:lineRule="auto"/>
        <w:rPr>
          <w:b/>
          <w:sz w:val="24"/>
          <w:szCs w:val="24"/>
          <w:u w:val="single"/>
        </w:rPr>
      </w:pPr>
      <w:r w:rsidRPr="00DB5F69">
        <w:rPr>
          <w:b/>
          <w:noProof/>
          <w:sz w:val="24"/>
          <w:szCs w:val="24"/>
          <w:lang w:eastAsia="en-IN"/>
        </w:rPr>
        <w:lastRenderedPageBreak/>
        <w:drawing>
          <wp:inline distT="0" distB="0" distL="0" distR="0">
            <wp:extent cx="13395325" cy="7137779"/>
            <wp:effectExtent l="0" t="0" r="15875" b="63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0C7D39" w:rsidRDefault="00DB5F69" w:rsidP="00DB5F69">
      <w:pPr>
        <w:spacing w:after="0" w:line="240" w:lineRule="auto"/>
        <w:ind w:firstLine="720"/>
        <w:rPr>
          <w:b/>
          <w:sz w:val="24"/>
          <w:szCs w:val="24"/>
        </w:rPr>
      </w:pPr>
      <w:r>
        <w:rPr>
          <w:b/>
          <w:sz w:val="24"/>
          <w:szCs w:val="24"/>
        </w:rPr>
        <w:t>NR = Data not reported</w:t>
      </w:r>
    </w:p>
    <w:p w:rsidR="000676A4" w:rsidRDefault="000676A4" w:rsidP="00DB5F69">
      <w:pPr>
        <w:spacing w:after="0" w:line="240" w:lineRule="auto"/>
        <w:ind w:firstLine="720"/>
        <w:rPr>
          <w:b/>
          <w:sz w:val="24"/>
          <w:szCs w:val="24"/>
        </w:rPr>
      </w:pPr>
    </w:p>
    <w:p w:rsidR="000676A4" w:rsidRDefault="000676A4" w:rsidP="00DB5F69">
      <w:pPr>
        <w:spacing w:after="0" w:line="240" w:lineRule="auto"/>
        <w:ind w:firstLine="720"/>
        <w:rPr>
          <w:b/>
          <w:sz w:val="24"/>
          <w:szCs w:val="24"/>
        </w:rPr>
      </w:pPr>
    </w:p>
    <w:p w:rsidR="000676A4" w:rsidRDefault="000676A4" w:rsidP="00DB5F69">
      <w:pPr>
        <w:spacing w:after="0" w:line="240" w:lineRule="auto"/>
        <w:ind w:firstLine="720"/>
        <w:rPr>
          <w:b/>
          <w:sz w:val="24"/>
          <w:szCs w:val="24"/>
        </w:rPr>
      </w:pPr>
    </w:p>
    <w:p w:rsidR="000676A4" w:rsidRDefault="000676A4" w:rsidP="00DB5F69">
      <w:pPr>
        <w:spacing w:after="0" w:line="240" w:lineRule="auto"/>
        <w:ind w:firstLine="720"/>
        <w:rPr>
          <w:b/>
          <w:sz w:val="24"/>
          <w:szCs w:val="24"/>
        </w:rPr>
      </w:pPr>
    </w:p>
    <w:p w:rsidR="000676A4" w:rsidRDefault="000676A4" w:rsidP="00DB5F69">
      <w:pPr>
        <w:spacing w:after="0" w:line="240" w:lineRule="auto"/>
        <w:ind w:firstLine="720"/>
        <w:rPr>
          <w:b/>
          <w:sz w:val="24"/>
          <w:szCs w:val="24"/>
        </w:rPr>
      </w:pPr>
    </w:p>
    <w:p w:rsidR="000676A4" w:rsidRDefault="000676A4" w:rsidP="00DB5F69">
      <w:pPr>
        <w:spacing w:after="0" w:line="240" w:lineRule="auto"/>
        <w:ind w:firstLine="720"/>
        <w:rPr>
          <w:b/>
          <w:sz w:val="24"/>
          <w:szCs w:val="24"/>
        </w:rPr>
      </w:pPr>
    </w:p>
    <w:p w:rsidR="000676A4" w:rsidRDefault="000676A4" w:rsidP="00DB5F69">
      <w:pPr>
        <w:spacing w:after="0" w:line="240" w:lineRule="auto"/>
        <w:ind w:firstLine="720"/>
        <w:rPr>
          <w:b/>
          <w:sz w:val="24"/>
          <w:szCs w:val="24"/>
        </w:rPr>
      </w:pPr>
    </w:p>
    <w:sectPr w:rsidR="000676A4" w:rsidSect="00E91347">
      <w:footerReference w:type="default" r:id="rId55"/>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28C" w:rsidRDefault="009A128C" w:rsidP="00AE396D">
      <w:pPr>
        <w:spacing w:after="0" w:line="240" w:lineRule="auto"/>
      </w:pPr>
      <w:r>
        <w:separator/>
      </w:r>
    </w:p>
  </w:endnote>
  <w:endnote w:type="continuationSeparator" w:id="0">
    <w:p w:rsidR="009A128C" w:rsidRDefault="009A128C" w:rsidP="00AE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80" w:rsidRDefault="00CB0780">
    <w:pPr>
      <w:pStyle w:val="Footer"/>
      <w:jc w:val="center"/>
    </w:pPr>
    <w:r>
      <w:fldChar w:fldCharType="begin"/>
    </w:r>
    <w:r>
      <w:instrText xml:space="preserve"> PAGE   \* MERGEFORMAT </w:instrText>
    </w:r>
    <w:r>
      <w:fldChar w:fldCharType="separate"/>
    </w:r>
    <w:r w:rsidR="004F5CE9">
      <w:rPr>
        <w:noProof/>
      </w:rPr>
      <w:t>21</w:t>
    </w:r>
    <w:r>
      <w:rPr>
        <w:noProof/>
      </w:rPr>
      <w:fldChar w:fldCharType="end"/>
    </w:r>
  </w:p>
  <w:p w:rsidR="00CB0780" w:rsidRDefault="00CB0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28C" w:rsidRDefault="009A128C" w:rsidP="00AE396D">
      <w:pPr>
        <w:spacing w:after="0" w:line="240" w:lineRule="auto"/>
      </w:pPr>
      <w:r>
        <w:separator/>
      </w:r>
    </w:p>
  </w:footnote>
  <w:footnote w:type="continuationSeparator" w:id="0">
    <w:p w:rsidR="009A128C" w:rsidRDefault="009A128C" w:rsidP="00AE396D">
      <w:pPr>
        <w:spacing w:after="0" w:line="240" w:lineRule="auto"/>
      </w:pPr>
      <w:r>
        <w:continuationSeparator/>
      </w:r>
    </w:p>
  </w:footnote>
  <w:footnote w:id="1">
    <w:p w:rsidR="00CB0780" w:rsidRPr="00785AEA" w:rsidRDefault="00CB0780" w:rsidP="00BB792D">
      <w:pPr>
        <w:pStyle w:val="FootnoteText"/>
        <w:ind w:left="187" w:hanging="187"/>
        <w:rPr>
          <w:lang w:val="en-IN"/>
        </w:rPr>
      </w:pPr>
      <w:r>
        <w:rPr>
          <w:rStyle w:val="FootnoteReference"/>
        </w:rPr>
        <w:footnoteRef/>
      </w:r>
      <w:r>
        <w:t xml:space="preserve"> </w:t>
      </w:r>
      <w:r>
        <w:rPr>
          <w:lang w:val="en-IN"/>
        </w:rPr>
        <w:t>Section 24 of the RTI Act insulates notified intelligence and security agencies from the ordinary obligations of transparency imposed on other public authorities. Organisations like the Directorate of Revenue Intelligence, Central Economic Intelligence Bureau and the Financial Intelligence Unit falling under the Union Ministry of Finance are notified as exempt under this provision. However, these bodies are obligated to disclose information about allegations of corruption. They are also required to disclose information about allegations of human rights violations with the approval of the CIC within 45 days of receiving the RTI application. Currently 26 intelligence and security organisations have bene exempted under Section 24 of the RTI Act.</w:t>
      </w:r>
    </w:p>
  </w:footnote>
  <w:footnote w:id="2">
    <w:p w:rsidR="00CB0780" w:rsidRPr="0066173C" w:rsidRDefault="00CB0780" w:rsidP="00BB792D">
      <w:pPr>
        <w:pStyle w:val="FootnoteText"/>
        <w:ind w:left="187" w:hanging="187"/>
        <w:rPr>
          <w:lang w:val="en-IN"/>
        </w:rPr>
      </w:pPr>
      <w:r>
        <w:rPr>
          <w:rStyle w:val="FootnoteReference"/>
        </w:rPr>
        <w:footnoteRef/>
      </w:r>
      <w:r>
        <w:rPr>
          <w:lang w:val="en-IN"/>
        </w:rPr>
        <w:t xml:space="preserve"> Nevertheless, these bodies are obligated to disclose information about allegations of corruption. They are also required to disclose information about allegations of human rights violations with the approval of the CIC.</w:t>
      </w:r>
    </w:p>
  </w:footnote>
  <w:footnote w:id="3">
    <w:p w:rsidR="00CB0780" w:rsidRPr="00F743A8" w:rsidRDefault="00CB0780" w:rsidP="00BB792D">
      <w:pPr>
        <w:pStyle w:val="FootnoteText"/>
        <w:ind w:left="187" w:hanging="187"/>
        <w:rPr>
          <w:lang w:val="en-IN"/>
        </w:rPr>
      </w:pPr>
      <w:r>
        <w:rPr>
          <w:rStyle w:val="FootnoteReference"/>
        </w:rPr>
        <w:footnoteRef/>
      </w:r>
      <w:r>
        <w:t xml:space="preserve"> Master Circular on Customer Service in Banks of No. RBI/2014-15/72 DBOD No. Leg.BC.21/09.07.006/2014-15 accessible on the RBI’s website at: </w:t>
      </w:r>
      <w:hyperlink r:id="rId1" w:history="1">
        <w:r w:rsidR="00BA55A5" w:rsidRPr="007D1259">
          <w:rPr>
            <w:rStyle w:val="Hyperlink"/>
          </w:rPr>
          <w:t>https://rbi.org.in/scripts/NotificationUser.aspx?Mode=0&amp;Id=9008</w:t>
        </w:r>
      </w:hyperlink>
      <w:r>
        <w:t>, accessed on 17 April, 2018.</w:t>
      </w:r>
    </w:p>
  </w:footnote>
  <w:footnote w:id="4">
    <w:p w:rsidR="00CB0780" w:rsidRPr="0045664E" w:rsidRDefault="00CB0780" w:rsidP="00BB792D">
      <w:pPr>
        <w:pStyle w:val="FootnoteText"/>
        <w:ind w:left="180" w:hanging="180"/>
        <w:rPr>
          <w:lang w:val="en-IN"/>
        </w:rPr>
      </w:pPr>
      <w:r>
        <w:rPr>
          <w:rStyle w:val="FootnoteReference"/>
        </w:rPr>
        <w:footnoteRef/>
      </w:r>
      <w:r>
        <w:rPr>
          <w:lang w:val="en-IN"/>
        </w:rPr>
        <w:t xml:space="preserve"> Many Information Commissions miss this fine distinction as this author discovered to his dismay recently.  Last year, the CIC rejected his appeal under Section 8(1)(d) of the RTI Act by citing one of its obsolete decisions which has since been superseded by findings of the Delhi High Court. The Delhi High Court has clearly held that the protection of Section 8(1)(d) is not available to a public authority that holds the information requested under the RTI Act. See: </w:t>
      </w:r>
      <w:r w:rsidRPr="00F25BBC">
        <w:rPr>
          <w:rFonts w:asciiTheme="minorHAnsi" w:hAnsiTheme="minorHAnsi" w:cs="Tahoma"/>
          <w:i/>
        </w:rPr>
        <w:t>Virender Singh Dabad vs The Executive Director Etc.</w:t>
      </w:r>
      <w:r w:rsidRPr="00F25BBC">
        <w:rPr>
          <w:rFonts w:asciiTheme="minorHAnsi" w:hAnsiTheme="minorHAnsi" w:cs="Tahoma"/>
        </w:rPr>
        <w:t xml:space="preserve">, WP(C) 2143/2011, order dated, 28/11/2011 which was confirmed by a Division Bench of the Delhi High Court in the matter of </w:t>
      </w:r>
      <w:r w:rsidRPr="00F25BBC">
        <w:rPr>
          <w:rFonts w:asciiTheme="minorHAnsi" w:hAnsiTheme="minorHAnsi" w:cs="Tahoma"/>
          <w:i/>
        </w:rPr>
        <w:t xml:space="preserve">General Manager Finance, Air India Ltd. &amp; Anr vs Virender Singh, </w:t>
      </w:r>
      <w:r w:rsidRPr="00F25BBC">
        <w:rPr>
          <w:rFonts w:asciiTheme="minorHAnsi" w:hAnsiTheme="minorHAnsi" w:cs="Tahoma"/>
        </w:rPr>
        <w:t>LPA No. 205/2012, judgement dated 16/7/2012.</w:t>
      </w:r>
    </w:p>
  </w:footnote>
  <w:footnote w:id="5">
    <w:p w:rsidR="00CB0780" w:rsidRPr="00DB6F1F" w:rsidRDefault="00CB0780" w:rsidP="00BB792D">
      <w:pPr>
        <w:pStyle w:val="FootnoteText"/>
        <w:ind w:left="180" w:hanging="180"/>
        <w:rPr>
          <w:lang w:val="en-IN"/>
        </w:rPr>
      </w:pPr>
      <w:r w:rsidRPr="00DB6F1F">
        <w:rPr>
          <w:rStyle w:val="FootnoteReference"/>
        </w:rPr>
        <w:footnoteRef/>
      </w:r>
      <w:r w:rsidRPr="00DB6F1F">
        <w:t xml:space="preserve"> </w:t>
      </w:r>
      <w:r w:rsidRPr="00DB6F1F">
        <w:rPr>
          <w:color w:val="000000"/>
          <w:shd w:val="clear" w:color="auto" w:fill="FFFFFF"/>
        </w:rPr>
        <w:t>AIR 2016 SC 1.</w:t>
      </w:r>
    </w:p>
  </w:footnote>
  <w:footnote w:id="6">
    <w:p w:rsidR="00CB0780" w:rsidRDefault="00CB0780" w:rsidP="00EE4D9D">
      <w:pPr>
        <w:pStyle w:val="FootnoteText"/>
        <w:ind w:left="187" w:hanging="187"/>
      </w:pPr>
      <w:r>
        <w:rPr>
          <w:rStyle w:val="FootnoteReference"/>
        </w:rPr>
        <w:footnoteRef/>
      </w:r>
      <w:r>
        <w:t xml:space="preserve"> Annual Report of the Central Information Commission for the year 2014-15 accessed on the CIC website at: </w:t>
      </w:r>
      <w:hyperlink r:id="rId2" w:history="1">
        <w:r>
          <w:rPr>
            <w:rStyle w:val="Hyperlink"/>
          </w:rPr>
          <w:t>http://www.cic.gov.in/sites/default/files/Reports/AR2014-15E.pdf</w:t>
        </w:r>
      </w:hyperlink>
      <w:r>
        <w:t xml:space="preserve">, </w:t>
      </w:r>
      <w:r>
        <w:rPr>
          <w:lang w:val="en-IN"/>
        </w:rPr>
        <w:t>accessed on 28 March, 2018</w:t>
      </w:r>
      <w:r>
        <w:t>.</w:t>
      </w:r>
    </w:p>
  </w:footnote>
  <w:footnote w:id="7">
    <w:p w:rsidR="00CB0780" w:rsidRDefault="00CB0780" w:rsidP="00EE4D9D">
      <w:pPr>
        <w:pStyle w:val="FootnoteText"/>
        <w:ind w:left="187" w:hanging="187"/>
      </w:pPr>
      <w:r>
        <w:rPr>
          <w:rStyle w:val="FootnoteReference"/>
        </w:rPr>
        <w:footnoteRef/>
      </w:r>
      <w:r>
        <w:t xml:space="preserve"> Annual Report of the Central Information Commission for the year 2015-16 accessible on the CIC website at: </w:t>
      </w:r>
      <w:hyperlink r:id="rId3" w:history="1">
        <w:r>
          <w:rPr>
            <w:rStyle w:val="Hyperlink"/>
          </w:rPr>
          <w:t>http://www.cic.gov.in/sites/default/files/Reports/CIC%20Annual%20Report%20English-2015-16.pdf</w:t>
        </w:r>
      </w:hyperlink>
      <w:r>
        <w:t xml:space="preserve">, accessed on 08 May, 2017. </w:t>
      </w:r>
    </w:p>
  </w:footnote>
  <w:footnote w:id="8">
    <w:p w:rsidR="00CB0780" w:rsidRDefault="00CB0780" w:rsidP="00EE4D9D">
      <w:pPr>
        <w:pStyle w:val="FootnoteText"/>
        <w:ind w:left="187" w:hanging="187"/>
      </w:pPr>
      <w:r>
        <w:rPr>
          <w:rStyle w:val="FootnoteReference"/>
        </w:rPr>
        <w:footnoteRef/>
      </w:r>
      <w:r>
        <w:t xml:space="preserve"> Reserve Bank of India, </w:t>
      </w:r>
      <w:r>
        <w:rPr>
          <w:i/>
        </w:rPr>
        <w:t>Statistical Tables Relating to Banks in India 2016-17:</w:t>
      </w:r>
      <w:r>
        <w:t xml:space="preserve"> Other Tables 2016-17- “Table 6: Bank-wise and Population Group-wise Number of Functioning Offices of Commercial Banks at the end of the Quarter”- accessible on the RBI website at: </w:t>
      </w:r>
      <w:hyperlink r:id="rId4" w:anchor="!4" w:history="1">
        <w:r>
          <w:rPr>
            <w:rStyle w:val="Hyperlink"/>
          </w:rPr>
          <w:t>http://dbie.rbi.org.in/DBIE/dbie.rbi?site=publications#!4</w:t>
        </w:r>
      </w:hyperlink>
      <w:r>
        <w:t xml:space="preserve">, </w:t>
      </w:r>
      <w:r>
        <w:rPr>
          <w:lang w:val="en-IN"/>
        </w:rPr>
        <w:t>accessed on 28 March, 2018</w:t>
      </w:r>
      <w:r>
        <w:t>.</w:t>
      </w:r>
    </w:p>
  </w:footnote>
  <w:footnote w:id="9">
    <w:p w:rsidR="00CB0780" w:rsidRPr="00C32E32" w:rsidRDefault="00CB0780" w:rsidP="00D91523">
      <w:pPr>
        <w:pStyle w:val="FootnoteText"/>
        <w:ind w:left="187" w:hanging="187"/>
        <w:rPr>
          <w:lang w:val="en-IN"/>
        </w:rPr>
      </w:pPr>
      <w:r>
        <w:rPr>
          <w:rStyle w:val="FootnoteReference"/>
        </w:rPr>
        <w:footnoteRef/>
      </w:r>
      <w:r>
        <w:t xml:space="preserve"> Reserve Bank of India, </w:t>
      </w:r>
      <w:r>
        <w:rPr>
          <w:i/>
        </w:rPr>
        <w:t>Statistical Tables Relating to Banks in India 2016-17</w:t>
      </w:r>
      <w:r w:rsidRPr="00C32E32">
        <w:t>- Table 7:</w:t>
      </w:r>
      <w:r>
        <w:t xml:space="preserve"> Movement of Non-performing Assets (NPAs)</w:t>
      </w:r>
      <w:r>
        <w:rPr>
          <w:i/>
        </w:rPr>
        <w:t xml:space="preserve"> </w:t>
      </w:r>
      <w:r>
        <w:t xml:space="preserve">of Scheduled Commercial Banks” – accessible on the RBI website at: </w:t>
      </w:r>
      <w:hyperlink r:id="rId5" w:anchor="!4" w:history="1">
        <w:r w:rsidRPr="00A310A4">
          <w:rPr>
            <w:rStyle w:val="Hyperlink"/>
          </w:rPr>
          <w:t>https://dbie.rbi.org.in/DBIE/dbie.rbi?site=publications#!4</w:t>
        </w:r>
      </w:hyperlink>
      <w:r>
        <w:t>, accessed on 28 March, 2018.</w:t>
      </w:r>
    </w:p>
  </w:footnote>
  <w:footnote w:id="10">
    <w:p w:rsidR="00CB0780" w:rsidRDefault="00CB0780" w:rsidP="00D91523">
      <w:pPr>
        <w:pStyle w:val="FootnoteText"/>
        <w:ind w:left="187" w:hanging="187"/>
        <w:rPr>
          <w:lang w:val="en-IN"/>
        </w:rPr>
      </w:pPr>
      <w:r>
        <w:rPr>
          <w:rStyle w:val="FootnoteReference"/>
        </w:rPr>
        <w:footnoteRef/>
      </w:r>
      <w: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85BAA"/>
    <w:multiLevelType w:val="hybridMultilevel"/>
    <w:tmpl w:val="89EA3694"/>
    <w:lvl w:ilvl="0" w:tplc="92D69916">
      <w:numFmt w:val="bullet"/>
      <w:lvlText w:val="-"/>
      <w:lvlJc w:val="left"/>
      <w:pPr>
        <w:ind w:left="420" w:hanging="360"/>
      </w:pPr>
      <w:rPr>
        <w:rFonts w:ascii="Calibri" w:eastAsia="Calibri" w:hAnsi="Calibri"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1" w15:restartNumberingAfterBreak="0">
    <w:nsid w:val="1BAB2239"/>
    <w:multiLevelType w:val="hybridMultilevel"/>
    <w:tmpl w:val="1A4047CE"/>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7A4D8E"/>
    <w:multiLevelType w:val="hybridMultilevel"/>
    <w:tmpl w:val="120CD14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F875F73"/>
    <w:multiLevelType w:val="hybridMultilevel"/>
    <w:tmpl w:val="1B222F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62956E5"/>
    <w:multiLevelType w:val="hybridMultilevel"/>
    <w:tmpl w:val="993E7C90"/>
    <w:lvl w:ilvl="0" w:tplc="2926E4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9684D10"/>
    <w:multiLevelType w:val="hybridMultilevel"/>
    <w:tmpl w:val="FA006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B8B3D09"/>
    <w:multiLevelType w:val="hybridMultilevel"/>
    <w:tmpl w:val="5454A6AC"/>
    <w:lvl w:ilvl="0" w:tplc="346673FE">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E4808B4"/>
    <w:multiLevelType w:val="hybridMultilevel"/>
    <w:tmpl w:val="161689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1E233BE"/>
    <w:multiLevelType w:val="hybridMultilevel"/>
    <w:tmpl w:val="87FAF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A0D0855"/>
    <w:multiLevelType w:val="hybridMultilevel"/>
    <w:tmpl w:val="9B9E67C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3"/>
  </w:num>
  <w:num w:numId="5">
    <w:abstractNumId w:val="8"/>
  </w:num>
  <w:num w:numId="6">
    <w:abstractNumId w:val="4"/>
  </w:num>
  <w:num w:numId="7">
    <w:abstractNumId w:val="5"/>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6D"/>
    <w:rsid w:val="00005406"/>
    <w:rsid w:val="000146E9"/>
    <w:rsid w:val="00023E39"/>
    <w:rsid w:val="0002529A"/>
    <w:rsid w:val="000310AE"/>
    <w:rsid w:val="00032509"/>
    <w:rsid w:val="0003762A"/>
    <w:rsid w:val="00045885"/>
    <w:rsid w:val="00054809"/>
    <w:rsid w:val="00054847"/>
    <w:rsid w:val="000676A4"/>
    <w:rsid w:val="00070D6F"/>
    <w:rsid w:val="00073D6B"/>
    <w:rsid w:val="000777A7"/>
    <w:rsid w:val="00080B05"/>
    <w:rsid w:val="00084F5E"/>
    <w:rsid w:val="00085789"/>
    <w:rsid w:val="000859A5"/>
    <w:rsid w:val="00085A93"/>
    <w:rsid w:val="000951BA"/>
    <w:rsid w:val="00096D93"/>
    <w:rsid w:val="00097E0A"/>
    <w:rsid w:val="000A07FE"/>
    <w:rsid w:val="000A3110"/>
    <w:rsid w:val="000B4EFA"/>
    <w:rsid w:val="000C4746"/>
    <w:rsid w:val="000C605C"/>
    <w:rsid w:val="000C7D39"/>
    <w:rsid w:val="000D2A8B"/>
    <w:rsid w:val="00105199"/>
    <w:rsid w:val="00106389"/>
    <w:rsid w:val="0010771C"/>
    <w:rsid w:val="001121EC"/>
    <w:rsid w:val="00114017"/>
    <w:rsid w:val="00120DC7"/>
    <w:rsid w:val="00131354"/>
    <w:rsid w:val="00135376"/>
    <w:rsid w:val="00140E9C"/>
    <w:rsid w:val="00142111"/>
    <w:rsid w:val="00145A94"/>
    <w:rsid w:val="001477DC"/>
    <w:rsid w:val="00160E8C"/>
    <w:rsid w:val="0016121B"/>
    <w:rsid w:val="00161CD6"/>
    <w:rsid w:val="00174CB9"/>
    <w:rsid w:val="00177A3C"/>
    <w:rsid w:val="00197CC2"/>
    <w:rsid w:val="001B4F82"/>
    <w:rsid w:val="001B7127"/>
    <w:rsid w:val="001B7BF4"/>
    <w:rsid w:val="001C1ABC"/>
    <w:rsid w:val="001E4B8E"/>
    <w:rsid w:val="001E58F7"/>
    <w:rsid w:val="001F2DB0"/>
    <w:rsid w:val="001F5CFB"/>
    <w:rsid w:val="001F72DB"/>
    <w:rsid w:val="00203F2B"/>
    <w:rsid w:val="00205D47"/>
    <w:rsid w:val="00206D81"/>
    <w:rsid w:val="00207100"/>
    <w:rsid w:val="00207BE4"/>
    <w:rsid w:val="00215DA3"/>
    <w:rsid w:val="00225604"/>
    <w:rsid w:val="00226FE8"/>
    <w:rsid w:val="002430FC"/>
    <w:rsid w:val="00255A70"/>
    <w:rsid w:val="002665E3"/>
    <w:rsid w:val="00267473"/>
    <w:rsid w:val="002675E6"/>
    <w:rsid w:val="00267A42"/>
    <w:rsid w:val="0027112A"/>
    <w:rsid w:val="0027271A"/>
    <w:rsid w:val="0027503D"/>
    <w:rsid w:val="00285C75"/>
    <w:rsid w:val="002936F6"/>
    <w:rsid w:val="002955CF"/>
    <w:rsid w:val="002A1F64"/>
    <w:rsid w:val="002A20F3"/>
    <w:rsid w:val="002A3A00"/>
    <w:rsid w:val="002A4942"/>
    <w:rsid w:val="002B71C3"/>
    <w:rsid w:val="002C02DA"/>
    <w:rsid w:val="002C1440"/>
    <w:rsid w:val="002C42A0"/>
    <w:rsid w:val="002D58B3"/>
    <w:rsid w:val="002D696F"/>
    <w:rsid w:val="002E0AB3"/>
    <w:rsid w:val="002E103A"/>
    <w:rsid w:val="002E7BD4"/>
    <w:rsid w:val="003013B8"/>
    <w:rsid w:val="00305E62"/>
    <w:rsid w:val="00310D5E"/>
    <w:rsid w:val="0031172A"/>
    <w:rsid w:val="00312AD3"/>
    <w:rsid w:val="003178C9"/>
    <w:rsid w:val="00322174"/>
    <w:rsid w:val="003308EB"/>
    <w:rsid w:val="003321DB"/>
    <w:rsid w:val="003357E2"/>
    <w:rsid w:val="00342494"/>
    <w:rsid w:val="00343DD0"/>
    <w:rsid w:val="00355F67"/>
    <w:rsid w:val="003664E2"/>
    <w:rsid w:val="00380D85"/>
    <w:rsid w:val="00395BDC"/>
    <w:rsid w:val="00396578"/>
    <w:rsid w:val="003A1983"/>
    <w:rsid w:val="003A261A"/>
    <w:rsid w:val="003A2FBD"/>
    <w:rsid w:val="003A5EBF"/>
    <w:rsid w:val="003B25FC"/>
    <w:rsid w:val="003B2601"/>
    <w:rsid w:val="003B3CA3"/>
    <w:rsid w:val="003B7DCD"/>
    <w:rsid w:val="003D0607"/>
    <w:rsid w:val="003D1869"/>
    <w:rsid w:val="003D6B61"/>
    <w:rsid w:val="003D6E94"/>
    <w:rsid w:val="003E02AD"/>
    <w:rsid w:val="003E1C1E"/>
    <w:rsid w:val="003E2370"/>
    <w:rsid w:val="003E5ABE"/>
    <w:rsid w:val="003F2DFA"/>
    <w:rsid w:val="003F35E3"/>
    <w:rsid w:val="003F5012"/>
    <w:rsid w:val="003F68DE"/>
    <w:rsid w:val="0040111E"/>
    <w:rsid w:val="00411E86"/>
    <w:rsid w:val="004225EA"/>
    <w:rsid w:val="004266D4"/>
    <w:rsid w:val="004378A5"/>
    <w:rsid w:val="00443EBF"/>
    <w:rsid w:val="00444BA3"/>
    <w:rsid w:val="0047146D"/>
    <w:rsid w:val="00473D50"/>
    <w:rsid w:val="00482404"/>
    <w:rsid w:val="004830BF"/>
    <w:rsid w:val="004A04D4"/>
    <w:rsid w:val="004A0B24"/>
    <w:rsid w:val="004A154A"/>
    <w:rsid w:val="004A240B"/>
    <w:rsid w:val="004A41AA"/>
    <w:rsid w:val="004A4887"/>
    <w:rsid w:val="004A4E1C"/>
    <w:rsid w:val="004A5AE3"/>
    <w:rsid w:val="004B530F"/>
    <w:rsid w:val="004C6875"/>
    <w:rsid w:val="004D4F52"/>
    <w:rsid w:val="004D733D"/>
    <w:rsid w:val="004F5CE9"/>
    <w:rsid w:val="00502CF0"/>
    <w:rsid w:val="00511079"/>
    <w:rsid w:val="00513711"/>
    <w:rsid w:val="00515F0F"/>
    <w:rsid w:val="00537D41"/>
    <w:rsid w:val="005426D4"/>
    <w:rsid w:val="00544619"/>
    <w:rsid w:val="005466B6"/>
    <w:rsid w:val="005505DE"/>
    <w:rsid w:val="00557C6B"/>
    <w:rsid w:val="00560163"/>
    <w:rsid w:val="00562386"/>
    <w:rsid w:val="005630AD"/>
    <w:rsid w:val="00573FD9"/>
    <w:rsid w:val="00576897"/>
    <w:rsid w:val="005776E4"/>
    <w:rsid w:val="00584480"/>
    <w:rsid w:val="005913DA"/>
    <w:rsid w:val="005921BD"/>
    <w:rsid w:val="00593126"/>
    <w:rsid w:val="005B45C4"/>
    <w:rsid w:val="005C0AD8"/>
    <w:rsid w:val="005C29C7"/>
    <w:rsid w:val="005E0A3C"/>
    <w:rsid w:val="005F3981"/>
    <w:rsid w:val="005F6929"/>
    <w:rsid w:val="0061157B"/>
    <w:rsid w:val="00615570"/>
    <w:rsid w:val="006322E8"/>
    <w:rsid w:val="00633B9E"/>
    <w:rsid w:val="006363C8"/>
    <w:rsid w:val="006525CC"/>
    <w:rsid w:val="006670CF"/>
    <w:rsid w:val="006700B0"/>
    <w:rsid w:val="00683112"/>
    <w:rsid w:val="006846B0"/>
    <w:rsid w:val="00695C7D"/>
    <w:rsid w:val="00695CE9"/>
    <w:rsid w:val="0069636C"/>
    <w:rsid w:val="0069679D"/>
    <w:rsid w:val="006A3C4B"/>
    <w:rsid w:val="006B28FD"/>
    <w:rsid w:val="006B2A53"/>
    <w:rsid w:val="006C6E88"/>
    <w:rsid w:val="006D1BD9"/>
    <w:rsid w:val="006E35F2"/>
    <w:rsid w:val="006E394B"/>
    <w:rsid w:val="006F26F8"/>
    <w:rsid w:val="006F7DB1"/>
    <w:rsid w:val="007034A2"/>
    <w:rsid w:val="00705D0B"/>
    <w:rsid w:val="007218FE"/>
    <w:rsid w:val="00731B4F"/>
    <w:rsid w:val="00742063"/>
    <w:rsid w:val="00745768"/>
    <w:rsid w:val="00746411"/>
    <w:rsid w:val="007464F8"/>
    <w:rsid w:val="007568B0"/>
    <w:rsid w:val="00756AEF"/>
    <w:rsid w:val="007644B2"/>
    <w:rsid w:val="00783068"/>
    <w:rsid w:val="00783C68"/>
    <w:rsid w:val="00783CAB"/>
    <w:rsid w:val="00784BA7"/>
    <w:rsid w:val="00792024"/>
    <w:rsid w:val="007921BA"/>
    <w:rsid w:val="00793319"/>
    <w:rsid w:val="00794AA5"/>
    <w:rsid w:val="00796DDB"/>
    <w:rsid w:val="007C20AD"/>
    <w:rsid w:val="007C430F"/>
    <w:rsid w:val="007D5165"/>
    <w:rsid w:val="007E3971"/>
    <w:rsid w:val="007E435E"/>
    <w:rsid w:val="007F32F1"/>
    <w:rsid w:val="008111DA"/>
    <w:rsid w:val="008258E5"/>
    <w:rsid w:val="00845D72"/>
    <w:rsid w:val="008953F0"/>
    <w:rsid w:val="00895E14"/>
    <w:rsid w:val="00896FFD"/>
    <w:rsid w:val="008971CC"/>
    <w:rsid w:val="00897A99"/>
    <w:rsid w:val="008A42A9"/>
    <w:rsid w:val="008A4EEE"/>
    <w:rsid w:val="008B33FF"/>
    <w:rsid w:val="008B784A"/>
    <w:rsid w:val="008C6456"/>
    <w:rsid w:val="008D75AD"/>
    <w:rsid w:val="008E29BB"/>
    <w:rsid w:val="008E4282"/>
    <w:rsid w:val="008F76DB"/>
    <w:rsid w:val="0090213B"/>
    <w:rsid w:val="00904A48"/>
    <w:rsid w:val="00912DD0"/>
    <w:rsid w:val="00921A36"/>
    <w:rsid w:val="00930D0E"/>
    <w:rsid w:val="00942A3B"/>
    <w:rsid w:val="0095722B"/>
    <w:rsid w:val="00961925"/>
    <w:rsid w:val="009626B2"/>
    <w:rsid w:val="009752E9"/>
    <w:rsid w:val="009759EE"/>
    <w:rsid w:val="00994B6A"/>
    <w:rsid w:val="0099686B"/>
    <w:rsid w:val="00997675"/>
    <w:rsid w:val="009A04FB"/>
    <w:rsid w:val="009A128C"/>
    <w:rsid w:val="009A2AA8"/>
    <w:rsid w:val="009B1E89"/>
    <w:rsid w:val="009C42CA"/>
    <w:rsid w:val="009C71A6"/>
    <w:rsid w:val="009D2FB8"/>
    <w:rsid w:val="009D6224"/>
    <w:rsid w:val="009E4C04"/>
    <w:rsid w:val="009E546D"/>
    <w:rsid w:val="009E7A16"/>
    <w:rsid w:val="009F07D7"/>
    <w:rsid w:val="00A03081"/>
    <w:rsid w:val="00A050F9"/>
    <w:rsid w:val="00A06BA7"/>
    <w:rsid w:val="00A10A0D"/>
    <w:rsid w:val="00A10C1B"/>
    <w:rsid w:val="00A223A3"/>
    <w:rsid w:val="00A23198"/>
    <w:rsid w:val="00A2578F"/>
    <w:rsid w:val="00A35F5B"/>
    <w:rsid w:val="00A37397"/>
    <w:rsid w:val="00A4089D"/>
    <w:rsid w:val="00A44B76"/>
    <w:rsid w:val="00A4557A"/>
    <w:rsid w:val="00A45F87"/>
    <w:rsid w:val="00A464E0"/>
    <w:rsid w:val="00A526F3"/>
    <w:rsid w:val="00A527E5"/>
    <w:rsid w:val="00A623E4"/>
    <w:rsid w:val="00A6312D"/>
    <w:rsid w:val="00A65502"/>
    <w:rsid w:val="00A73E73"/>
    <w:rsid w:val="00A757CB"/>
    <w:rsid w:val="00A83995"/>
    <w:rsid w:val="00A8488D"/>
    <w:rsid w:val="00A84DFC"/>
    <w:rsid w:val="00A86E78"/>
    <w:rsid w:val="00A9450A"/>
    <w:rsid w:val="00AA487E"/>
    <w:rsid w:val="00AA6F20"/>
    <w:rsid w:val="00AB26F0"/>
    <w:rsid w:val="00AB6C67"/>
    <w:rsid w:val="00AB7377"/>
    <w:rsid w:val="00AD09BF"/>
    <w:rsid w:val="00AD6D99"/>
    <w:rsid w:val="00AE19CD"/>
    <w:rsid w:val="00AE2119"/>
    <w:rsid w:val="00AE396D"/>
    <w:rsid w:val="00AE434B"/>
    <w:rsid w:val="00AF3608"/>
    <w:rsid w:val="00B03432"/>
    <w:rsid w:val="00B03510"/>
    <w:rsid w:val="00B06CAD"/>
    <w:rsid w:val="00B3198E"/>
    <w:rsid w:val="00B328D7"/>
    <w:rsid w:val="00B468B3"/>
    <w:rsid w:val="00B46BA8"/>
    <w:rsid w:val="00B50F6F"/>
    <w:rsid w:val="00B52643"/>
    <w:rsid w:val="00B5486A"/>
    <w:rsid w:val="00B55E02"/>
    <w:rsid w:val="00B65AAE"/>
    <w:rsid w:val="00B71BFA"/>
    <w:rsid w:val="00B75297"/>
    <w:rsid w:val="00B83790"/>
    <w:rsid w:val="00B84808"/>
    <w:rsid w:val="00BA2136"/>
    <w:rsid w:val="00BA263A"/>
    <w:rsid w:val="00BA2751"/>
    <w:rsid w:val="00BA55A5"/>
    <w:rsid w:val="00BB2943"/>
    <w:rsid w:val="00BB64A9"/>
    <w:rsid w:val="00BB792D"/>
    <w:rsid w:val="00BC1571"/>
    <w:rsid w:val="00BD030C"/>
    <w:rsid w:val="00BD3082"/>
    <w:rsid w:val="00BD53DA"/>
    <w:rsid w:val="00BF344F"/>
    <w:rsid w:val="00BF4677"/>
    <w:rsid w:val="00C0030A"/>
    <w:rsid w:val="00C00925"/>
    <w:rsid w:val="00C02AA2"/>
    <w:rsid w:val="00C03337"/>
    <w:rsid w:val="00C045E1"/>
    <w:rsid w:val="00C05BA6"/>
    <w:rsid w:val="00C05FB5"/>
    <w:rsid w:val="00C065A8"/>
    <w:rsid w:val="00C15DDA"/>
    <w:rsid w:val="00C26727"/>
    <w:rsid w:val="00C32E32"/>
    <w:rsid w:val="00C44DDA"/>
    <w:rsid w:val="00C51273"/>
    <w:rsid w:val="00C60717"/>
    <w:rsid w:val="00C620F7"/>
    <w:rsid w:val="00C760AD"/>
    <w:rsid w:val="00C96073"/>
    <w:rsid w:val="00CA2236"/>
    <w:rsid w:val="00CA27B8"/>
    <w:rsid w:val="00CA6277"/>
    <w:rsid w:val="00CB0780"/>
    <w:rsid w:val="00CB2242"/>
    <w:rsid w:val="00CC75A5"/>
    <w:rsid w:val="00CD07B6"/>
    <w:rsid w:val="00CE4514"/>
    <w:rsid w:val="00CE64C5"/>
    <w:rsid w:val="00CE77BA"/>
    <w:rsid w:val="00D04332"/>
    <w:rsid w:val="00D128E1"/>
    <w:rsid w:val="00D22179"/>
    <w:rsid w:val="00D37A9C"/>
    <w:rsid w:val="00D45A23"/>
    <w:rsid w:val="00D74EE1"/>
    <w:rsid w:val="00D811BD"/>
    <w:rsid w:val="00D91523"/>
    <w:rsid w:val="00DA1332"/>
    <w:rsid w:val="00DB21B7"/>
    <w:rsid w:val="00DB2E96"/>
    <w:rsid w:val="00DB35ED"/>
    <w:rsid w:val="00DB5F69"/>
    <w:rsid w:val="00DB7813"/>
    <w:rsid w:val="00DC168F"/>
    <w:rsid w:val="00DC1984"/>
    <w:rsid w:val="00DC1C50"/>
    <w:rsid w:val="00DC56AB"/>
    <w:rsid w:val="00DC697D"/>
    <w:rsid w:val="00DD1801"/>
    <w:rsid w:val="00DD24C5"/>
    <w:rsid w:val="00DE0AAD"/>
    <w:rsid w:val="00DE1B85"/>
    <w:rsid w:val="00DE3BD4"/>
    <w:rsid w:val="00DE46A6"/>
    <w:rsid w:val="00DF174E"/>
    <w:rsid w:val="00DF6BD2"/>
    <w:rsid w:val="00E03E9B"/>
    <w:rsid w:val="00E054F5"/>
    <w:rsid w:val="00E066F7"/>
    <w:rsid w:val="00E123D0"/>
    <w:rsid w:val="00E12C21"/>
    <w:rsid w:val="00E3792B"/>
    <w:rsid w:val="00E40661"/>
    <w:rsid w:val="00E4193B"/>
    <w:rsid w:val="00E45AF9"/>
    <w:rsid w:val="00E54B09"/>
    <w:rsid w:val="00E54F0F"/>
    <w:rsid w:val="00E61EE8"/>
    <w:rsid w:val="00E67933"/>
    <w:rsid w:val="00E70861"/>
    <w:rsid w:val="00E718B8"/>
    <w:rsid w:val="00E75176"/>
    <w:rsid w:val="00E76C55"/>
    <w:rsid w:val="00E81DCF"/>
    <w:rsid w:val="00E81DDA"/>
    <w:rsid w:val="00E900D7"/>
    <w:rsid w:val="00E91347"/>
    <w:rsid w:val="00E936D3"/>
    <w:rsid w:val="00EA1FB8"/>
    <w:rsid w:val="00EB30FE"/>
    <w:rsid w:val="00EB6D5A"/>
    <w:rsid w:val="00EC4CAC"/>
    <w:rsid w:val="00EC6596"/>
    <w:rsid w:val="00EE0D06"/>
    <w:rsid w:val="00EE4031"/>
    <w:rsid w:val="00EE4914"/>
    <w:rsid w:val="00EE4D9D"/>
    <w:rsid w:val="00EE4DB2"/>
    <w:rsid w:val="00EE732C"/>
    <w:rsid w:val="00EF0D4E"/>
    <w:rsid w:val="00EF1905"/>
    <w:rsid w:val="00EF4988"/>
    <w:rsid w:val="00EF5440"/>
    <w:rsid w:val="00EF6593"/>
    <w:rsid w:val="00F10C64"/>
    <w:rsid w:val="00F1209A"/>
    <w:rsid w:val="00F2307F"/>
    <w:rsid w:val="00F25039"/>
    <w:rsid w:val="00F341B1"/>
    <w:rsid w:val="00F37868"/>
    <w:rsid w:val="00F51E44"/>
    <w:rsid w:val="00F53B14"/>
    <w:rsid w:val="00F6381F"/>
    <w:rsid w:val="00F65805"/>
    <w:rsid w:val="00F708A7"/>
    <w:rsid w:val="00F91102"/>
    <w:rsid w:val="00F94273"/>
    <w:rsid w:val="00FA13EE"/>
    <w:rsid w:val="00FA22C5"/>
    <w:rsid w:val="00FA2D43"/>
    <w:rsid w:val="00FA34E5"/>
    <w:rsid w:val="00FA5443"/>
    <w:rsid w:val="00FD5F42"/>
    <w:rsid w:val="00FE47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9CBD3-DFAC-4AC3-8033-E169BC09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396D"/>
    <w:pPr>
      <w:spacing w:before="120" w:after="0" w:line="240" w:lineRule="auto"/>
      <w:ind w:left="720" w:hanging="360"/>
      <w:jc w:val="both"/>
    </w:pPr>
    <w:rPr>
      <w:sz w:val="20"/>
      <w:szCs w:val="20"/>
      <w:lang w:val="en-US"/>
    </w:rPr>
  </w:style>
  <w:style w:type="character" w:customStyle="1" w:styleId="FootnoteTextChar">
    <w:name w:val="Footnote Text Char"/>
    <w:link w:val="FootnoteText"/>
    <w:uiPriority w:val="99"/>
    <w:semiHidden/>
    <w:rsid w:val="00AE396D"/>
    <w:rPr>
      <w:rFonts w:ascii="Calibri" w:eastAsia="Calibri" w:hAnsi="Calibri" w:cs="Times New Roman"/>
      <w:sz w:val="20"/>
      <w:szCs w:val="20"/>
      <w:lang w:val="en-US"/>
    </w:rPr>
  </w:style>
  <w:style w:type="character" w:styleId="FootnoteReference">
    <w:name w:val="footnote reference"/>
    <w:uiPriority w:val="99"/>
    <w:semiHidden/>
    <w:unhideWhenUsed/>
    <w:rsid w:val="00AE396D"/>
    <w:rPr>
      <w:vertAlign w:val="superscript"/>
    </w:rPr>
  </w:style>
  <w:style w:type="character" w:styleId="Hyperlink">
    <w:name w:val="Hyperlink"/>
    <w:uiPriority w:val="99"/>
    <w:unhideWhenUsed/>
    <w:rsid w:val="00AE396D"/>
    <w:rPr>
      <w:color w:val="0000FF"/>
      <w:u w:val="single"/>
    </w:rPr>
  </w:style>
  <w:style w:type="paragraph" w:styleId="Header">
    <w:name w:val="header"/>
    <w:basedOn w:val="Normal"/>
    <w:link w:val="HeaderChar"/>
    <w:uiPriority w:val="99"/>
    <w:unhideWhenUsed/>
    <w:rsid w:val="00DB21B7"/>
    <w:pPr>
      <w:tabs>
        <w:tab w:val="center" w:pos="4513"/>
        <w:tab w:val="right" w:pos="9026"/>
      </w:tabs>
    </w:pPr>
  </w:style>
  <w:style w:type="character" w:customStyle="1" w:styleId="HeaderChar">
    <w:name w:val="Header Char"/>
    <w:link w:val="Header"/>
    <w:uiPriority w:val="99"/>
    <w:rsid w:val="00DB21B7"/>
    <w:rPr>
      <w:sz w:val="22"/>
      <w:szCs w:val="22"/>
      <w:lang w:eastAsia="en-US"/>
    </w:rPr>
  </w:style>
  <w:style w:type="paragraph" w:styleId="Footer">
    <w:name w:val="footer"/>
    <w:basedOn w:val="Normal"/>
    <w:link w:val="FooterChar"/>
    <w:uiPriority w:val="99"/>
    <w:unhideWhenUsed/>
    <w:rsid w:val="00DB21B7"/>
    <w:pPr>
      <w:tabs>
        <w:tab w:val="center" w:pos="4513"/>
        <w:tab w:val="right" w:pos="9026"/>
      </w:tabs>
    </w:pPr>
  </w:style>
  <w:style w:type="character" w:customStyle="1" w:styleId="FooterChar">
    <w:name w:val="Footer Char"/>
    <w:link w:val="Footer"/>
    <w:uiPriority w:val="99"/>
    <w:rsid w:val="00DB21B7"/>
    <w:rPr>
      <w:sz w:val="22"/>
      <w:szCs w:val="22"/>
      <w:lang w:eastAsia="en-US"/>
    </w:rPr>
  </w:style>
  <w:style w:type="paragraph" w:styleId="Caption">
    <w:name w:val="caption"/>
    <w:basedOn w:val="Normal"/>
    <w:next w:val="Normal"/>
    <w:uiPriority w:val="35"/>
    <w:unhideWhenUsed/>
    <w:qFormat/>
    <w:rsid w:val="002C02DA"/>
    <w:pPr>
      <w:spacing w:after="200" w:line="240" w:lineRule="auto"/>
    </w:pPr>
    <w:rPr>
      <w:i/>
      <w:iCs/>
      <w:color w:val="44546A" w:themeColor="text2"/>
      <w:sz w:val="18"/>
      <w:szCs w:val="18"/>
    </w:rPr>
  </w:style>
  <w:style w:type="paragraph" w:styleId="ListParagraph">
    <w:name w:val="List Paragraph"/>
    <w:basedOn w:val="Normal"/>
    <w:uiPriority w:val="34"/>
    <w:qFormat/>
    <w:rsid w:val="00EF4988"/>
    <w:pPr>
      <w:ind w:left="720"/>
      <w:contextualSpacing/>
    </w:pPr>
  </w:style>
  <w:style w:type="table" w:styleId="TableGrid">
    <w:name w:val="Table Grid"/>
    <w:basedOn w:val="TableNormal"/>
    <w:uiPriority w:val="39"/>
    <w:rsid w:val="002B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55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907669">
      <w:bodyDiv w:val="1"/>
      <w:marLeft w:val="0"/>
      <w:marRight w:val="0"/>
      <w:marTop w:val="0"/>
      <w:marBottom w:val="0"/>
      <w:divBdr>
        <w:top w:val="none" w:sz="0" w:space="0" w:color="auto"/>
        <w:left w:val="none" w:sz="0" w:space="0" w:color="auto"/>
        <w:bottom w:val="none" w:sz="0" w:space="0" w:color="auto"/>
        <w:right w:val="none" w:sz="0" w:space="0" w:color="auto"/>
      </w:divBdr>
    </w:div>
    <w:div w:id="1247836672">
      <w:bodyDiv w:val="1"/>
      <w:marLeft w:val="0"/>
      <w:marRight w:val="0"/>
      <w:marTop w:val="0"/>
      <w:marBottom w:val="0"/>
      <w:divBdr>
        <w:top w:val="none" w:sz="0" w:space="0" w:color="auto"/>
        <w:left w:val="none" w:sz="0" w:space="0" w:color="auto"/>
        <w:bottom w:val="none" w:sz="0" w:space="0" w:color="auto"/>
        <w:right w:val="none" w:sz="0" w:space="0" w:color="auto"/>
      </w:divBdr>
    </w:div>
    <w:div w:id="1388794400">
      <w:bodyDiv w:val="1"/>
      <w:marLeft w:val="0"/>
      <w:marRight w:val="0"/>
      <w:marTop w:val="0"/>
      <w:marBottom w:val="0"/>
      <w:divBdr>
        <w:top w:val="none" w:sz="0" w:space="0" w:color="auto"/>
        <w:left w:val="none" w:sz="0" w:space="0" w:color="auto"/>
        <w:bottom w:val="none" w:sz="0" w:space="0" w:color="auto"/>
        <w:right w:val="none" w:sz="0" w:space="0" w:color="auto"/>
      </w:divBdr>
    </w:div>
    <w:div w:id="140306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nomictimes.indiatimes.com/industry/banking/finance/banking/decline-in-rti-applications-received-by-psu-banks-study/articleshow/44790520.cms" TargetMode="External"/><Relationship Id="rId18" Type="http://schemas.openxmlformats.org/officeDocument/2006/relationships/hyperlink" Target="http://indianexpress.com/article/business/banking-and-finance/recovery-rate-of-npa-write-offs-falling-uco-bank-draws-a-blank-5140203/" TargetMode="External"/><Relationship Id="rId26" Type="http://schemas.openxmlformats.org/officeDocument/2006/relationships/chart" Target="charts/chart8.xml"/><Relationship Id="rId39" Type="http://schemas.openxmlformats.org/officeDocument/2006/relationships/chart" Target="charts/chart21.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chart" Target="charts/chart24.xml"/><Relationship Id="rId47" Type="http://schemas.openxmlformats.org/officeDocument/2006/relationships/chart" Target="charts/chart29.xml"/><Relationship Id="rId50" Type="http://schemas.openxmlformats.org/officeDocument/2006/relationships/chart" Target="charts/chart32.xm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rbidocs.rbi.org.in/rdocs/PublicationReport/Pdfs/BCF090514FR.pdf" TargetMode="External"/><Relationship Id="rId17" Type="http://schemas.openxmlformats.org/officeDocument/2006/relationships/hyperlink" Target="http://www.humanrightsinitiative.org/blog/cic-reports-more-than-6-dip-in-the-total-number-of-rti-applications-received-by-central-government" TargetMode="Externa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chart" Target="charts/chart28.xml"/><Relationship Id="rId2" Type="http://schemas.openxmlformats.org/officeDocument/2006/relationships/numbering" Target="numbering.xml"/><Relationship Id="rId16" Type="http://schemas.openxmlformats.org/officeDocument/2006/relationships/hyperlink" Target="http://www.cic.gov.in/sites/default/files/Reports/CIC%20Annual%20Report%20English%202016-17.pdf" TargetMode="External"/><Relationship Id="rId20" Type="http://schemas.openxmlformats.org/officeDocument/2006/relationships/chart" Target="charts/chart2.xml"/><Relationship Id="rId29" Type="http://schemas.openxmlformats.org/officeDocument/2006/relationships/chart" Target="charts/chart11.xml"/><Relationship Id="rId41" Type="http://schemas.openxmlformats.org/officeDocument/2006/relationships/chart" Target="charts/chart23.xml"/><Relationship Id="rId54" Type="http://schemas.openxmlformats.org/officeDocument/2006/relationships/chart" Target="charts/chart3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timesofindia.indiatimes.com/toi-edit-page/why-we-dont-need-psbs-bank-privatisation-must-be-on-the-reform-agenda-of-the-next-government/" TargetMode="Externa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chart" Target="charts/chart27.xml"/><Relationship Id="rId53" Type="http://schemas.openxmlformats.org/officeDocument/2006/relationships/chart" Target="charts/chart35.xml"/><Relationship Id="rId5" Type="http://schemas.openxmlformats.org/officeDocument/2006/relationships/webSettings" Target="webSettings.xml"/><Relationship Id="rId15" Type="http://schemas.openxmlformats.org/officeDocument/2006/relationships/hyperlink" Target="https://thewire.in/economy/rti-banks-rbi-public-sector-banks" TargetMode="Externa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chart" Target="charts/chart31.xml"/><Relationship Id="rId57" Type="http://schemas.openxmlformats.org/officeDocument/2006/relationships/theme" Target="theme/theme1.xml"/><Relationship Id="rId10" Type="http://schemas.openxmlformats.org/officeDocument/2006/relationships/hyperlink" Target="http://indianexpress.com/article/business/banking-and-finance/recovery-rate-of-npa-write-offs-falling-uco-bank-draws-a-blank-5140203/" TargetMode="Externa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chart" Target="charts/chart26.xml"/><Relationship Id="rId52" Type="http://schemas.openxmlformats.org/officeDocument/2006/relationships/chart" Target="charts/chart34.xml"/><Relationship Id="rId4" Type="http://schemas.openxmlformats.org/officeDocument/2006/relationships/settings" Target="settings.xml"/><Relationship Id="rId9" Type="http://schemas.openxmlformats.org/officeDocument/2006/relationships/hyperlink" Target="https://economictimes.indiatimes.com/markets/stocks/news/gross-npa-may-rise-to-rs-9-5-lakh-crore-by-march-study/articleshow/62603229.cms" TargetMode="External"/><Relationship Id="rId14" Type="http://schemas.openxmlformats.org/officeDocument/2006/relationships/hyperlink" Target="https://thewire.in/26828/three-public-sector-banks-with-high-non-performing-assets-rejected-most-rti-requests-in-2014-15-study"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5.xml"/><Relationship Id="rId48" Type="http://schemas.openxmlformats.org/officeDocument/2006/relationships/chart" Target="charts/chart30.xml"/><Relationship Id="rId56" Type="http://schemas.openxmlformats.org/officeDocument/2006/relationships/fontTable" Target="fontTable.xml"/><Relationship Id="rId8" Type="http://schemas.openxmlformats.org/officeDocument/2006/relationships/hyperlink" Target="http://164.100.47.190/loksabhaquestions/annex/14/AU6618.pdf" TargetMode="External"/><Relationship Id="rId51" Type="http://schemas.openxmlformats.org/officeDocument/2006/relationships/chart" Target="charts/chart33.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cic.gov.in/sites/default/files/Reports/CIC%20Annual%20Report%20English-2015-16.pdf" TargetMode="External"/><Relationship Id="rId2" Type="http://schemas.openxmlformats.org/officeDocument/2006/relationships/hyperlink" Target="http://www.cic.gov.in/sites/default/files/Reports/AR2014-15E.pdf" TargetMode="External"/><Relationship Id="rId1" Type="http://schemas.openxmlformats.org/officeDocument/2006/relationships/hyperlink" Target="https://rbi.org.in/scripts/NotificationUser.aspx?Mode=0&amp;Id=9008" TargetMode="External"/><Relationship Id="rId5" Type="http://schemas.openxmlformats.org/officeDocument/2006/relationships/hyperlink" Target="https://dbie.rbi.org.in/DBIE/dbie.rbi?site=publications" TargetMode="External"/><Relationship Id="rId4" Type="http://schemas.openxmlformats.org/officeDocument/2006/relationships/hyperlink" Target="http://dbie.rbi.org.in/DBIE/dbie.rbi?site=publication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2.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33.xlsx"/><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34.xlsx"/><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_Worksheet35.xlsx"/><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package" Target="../embeddings/Microsoft_Excel_Worksheet36.xlsx"/><Relationship Id="rId2" Type="http://schemas.microsoft.com/office/2011/relationships/chartColorStyle" Target="colors36.xml"/><Relationship Id="rId1" Type="http://schemas.microsoft.com/office/2011/relationships/chartStyle" Target="style36.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2000" b="1"/>
              <a:t>(1.1) Total number of RTI applications received by 25 Public</a:t>
            </a:r>
            <a:r>
              <a:rPr lang="en-US" sz="2000" b="1" baseline="0"/>
              <a:t> Sector Banks and RBI in 2016-17</a:t>
            </a:r>
            <a:endParaRPr lang="en-US" sz="2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2016-17</c:v>
                </c:pt>
              </c:strCache>
            </c:strRef>
          </c:tx>
          <c:spPr>
            <a:solidFill>
              <a:srgbClr val="00B0F0"/>
            </a:solidFill>
            <a:ln>
              <a:noFill/>
            </a:ln>
            <a:effectLst/>
            <a:sp3d/>
          </c:spPr>
          <c:invertIfNegative val="0"/>
          <c:dLbls>
            <c:dLbl>
              <c:idx val="6"/>
              <c:tx>
                <c:rich>
                  <a:bodyPr/>
                  <a:lstStyle/>
                  <a:p>
                    <a:r>
                      <a:rPr lang="en-US"/>
                      <a:t>2880</a:t>
                    </a:r>
                  </a:p>
                </c:rich>
              </c:tx>
              <c:showLegendKey val="0"/>
              <c:showVal val="1"/>
              <c:showCatName val="0"/>
              <c:showSerName val="0"/>
              <c:showPercent val="0"/>
              <c:showBubbleSize val="0"/>
              <c:extLst>
                <c:ext xmlns:c15="http://schemas.microsoft.com/office/drawing/2012/chart" uri="{CE6537A1-D6FC-4f65-9D91-7224C49458BB}"/>
              </c:extLst>
            </c:dLbl>
            <c:dLbl>
              <c:idx val="26"/>
              <c:tx>
                <c:rich>
                  <a:bodyPr/>
                  <a:lstStyle/>
                  <a:p>
                    <a:r>
                      <a:rPr lang="en-US"/>
                      <a:t>NR</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Sheet1!$A$2:$A$28</c:f>
              <c:strCache>
                <c:ptCount val="27"/>
                <c:pt idx="0">
                  <c:v>State Bank of India</c:v>
                </c:pt>
                <c:pt idx="1">
                  <c:v>Reserve Bank of India</c:v>
                </c:pt>
                <c:pt idx="2">
                  <c:v>Punjab National Bank</c:v>
                </c:pt>
                <c:pt idx="3">
                  <c:v>Bank of Baroda</c:v>
                </c:pt>
                <c:pt idx="4">
                  <c:v>Bank of India</c:v>
                </c:pt>
                <c:pt idx="5">
                  <c:v>Canara Bank</c:v>
                </c:pt>
                <c:pt idx="6">
                  <c:v>Syndicate Bank</c:v>
                </c:pt>
                <c:pt idx="7">
                  <c:v>Allahabad Bank</c:v>
                </c:pt>
                <c:pt idx="8">
                  <c:v>Indian Bank</c:v>
                </c:pt>
                <c:pt idx="9">
                  <c:v>Indian Overseas Bank</c:v>
                </c:pt>
                <c:pt idx="10">
                  <c:v>State Bank of Bikaner &amp; Jaipur</c:v>
                </c:pt>
                <c:pt idx="11">
                  <c:v>UCO Bank</c:v>
                </c:pt>
                <c:pt idx="12">
                  <c:v>Bank of Maharashtra</c:v>
                </c:pt>
                <c:pt idx="13">
                  <c:v>Oriental Bank of Commerce</c:v>
                </c:pt>
                <c:pt idx="14">
                  <c:v>IDBI Bank Ltd.</c:v>
                </c:pt>
                <c:pt idx="15">
                  <c:v>State Bank of Patiala</c:v>
                </c:pt>
                <c:pt idx="16">
                  <c:v>Corporation Bank</c:v>
                </c:pt>
                <c:pt idx="17">
                  <c:v>Punjab and Sind Bank</c:v>
                </c:pt>
                <c:pt idx="18">
                  <c:v>Dena Bank</c:v>
                </c:pt>
                <c:pt idx="19">
                  <c:v>Union Bank of India</c:v>
                </c:pt>
                <c:pt idx="20">
                  <c:v>Andhra Bank</c:v>
                </c:pt>
                <c:pt idx="21">
                  <c:v>Vijaya Bank</c:v>
                </c:pt>
                <c:pt idx="22">
                  <c:v>United Bank of India</c:v>
                </c:pt>
                <c:pt idx="23">
                  <c:v>State Bank of Mysore</c:v>
                </c:pt>
                <c:pt idx="24">
                  <c:v>State Bank of Travancore</c:v>
                </c:pt>
                <c:pt idx="25">
                  <c:v>State Bank of Hyderabad</c:v>
                </c:pt>
                <c:pt idx="26">
                  <c:v>Central Bank of India</c:v>
                </c:pt>
              </c:strCache>
            </c:strRef>
          </c:cat>
          <c:val>
            <c:numRef>
              <c:f>Sheet1!$B$2:$B$28</c:f>
              <c:numCache>
                <c:formatCode>General</c:formatCode>
                <c:ptCount val="27"/>
                <c:pt idx="0">
                  <c:v>25320</c:v>
                </c:pt>
                <c:pt idx="1">
                  <c:v>13260</c:v>
                </c:pt>
                <c:pt idx="2">
                  <c:v>7715</c:v>
                </c:pt>
                <c:pt idx="3">
                  <c:v>4809</c:v>
                </c:pt>
                <c:pt idx="4">
                  <c:v>4295</c:v>
                </c:pt>
                <c:pt idx="5">
                  <c:v>3918</c:v>
                </c:pt>
                <c:pt idx="6">
                  <c:v>2880</c:v>
                </c:pt>
                <c:pt idx="7">
                  <c:v>2668</c:v>
                </c:pt>
                <c:pt idx="8">
                  <c:v>2644</c:v>
                </c:pt>
                <c:pt idx="9">
                  <c:v>1926</c:v>
                </c:pt>
                <c:pt idx="10">
                  <c:v>1808</c:v>
                </c:pt>
                <c:pt idx="11">
                  <c:v>1591</c:v>
                </c:pt>
                <c:pt idx="12">
                  <c:v>1406</c:v>
                </c:pt>
                <c:pt idx="13">
                  <c:v>1285</c:v>
                </c:pt>
                <c:pt idx="14">
                  <c:v>1250</c:v>
                </c:pt>
                <c:pt idx="15">
                  <c:v>1250</c:v>
                </c:pt>
                <c:pt idx="16">
                  <c:v>1186</c:v>
                </c:pt>
                <c:pt idx="17">
                  <c:v>1058</c:v>
                </c:pt>
                <c:pt idx="18">
                  <c:v>1027</c:v>
                </c:pt>
                <c:pt idx="19">
                  <c:v>1025</c:v>
                </c:pt>
                <c:pt idx="20">
                  <c:v>1018</c:v>
                </c:pt>
                <c:pt idx="21">
                  <c:v>974</c:v>
                </c:pt>
                <c:pt idx="22">
                  <c:v>957</c:v>
                </c:pt>
                <c:pt idx="23">
                  <c:v>528</c:v>
                </c:pt>
                <c:pt idx="24">
                  <c:v>465</c:v>
                </c:pt>
                <c:pt idx="25">
                  <c:v>420</c:v>
                </c:pt>
                <c:pt idx="26">
                  <c:v>0</c:v>
                </c:pt>
              </c:numCache>
            </c:numRef>
          </c:val>
        </c:ser>
        <c:dLbls>
          <c:showLegendKey val="0"/>
          <c:showVal val="0"/>
          <c:showCatName val="0"/>
          <c:showSerName val="0"/>
          <c:showPercent val="0"/>
          <c:showBubbleSize val="0"/>
        </c:dLbls>
        <c:gapWidth val="150"/>
        <c:shape val="box"/>
        <c:axId val="286808768"/>
        <c:axId val="286811512"/>
        <c:axId val="0"/>
      </c:bar3DChart>
      <c:catAx>
        <c:axId val="2868087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286811512"/>
        <c:crosses val="autoZero"/>
        <c:auto val="1"/>
        <c:lblAlgn val="ctr"/>
        <c:lblOffset val="100"/>
        <c:noMultiLvlLbl val="0"/>
      </c:catAx>
      <c:valAx>
        <c:axId val="286811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08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spc="0" baseline="0">
                <a:solidFill>
                  <a:schemeClr val="tx1">
                    <a:lumMod val="65000"/>
                    <a:lumOff val="35000"/>
                  </a:schemeClr>
                </a:solidFill>
                <a:latin typeface="+mn-lt"/>
                <a:ea typeface="+mn-ea"/>
                <a:cs typeface="+mn-cs"/>
              </a:defRPr>
            </a:pPr>
            <a:r>
              <a:rPr lang="en-US" sz="2000" b="1"/>
              <a:t>(1.10) Exemptions invoked by 25 Public</a:t>
            </a:r>
            <a:r>
              <a:rPr lang="en-US" sz="2000" b="1" baseline="0"/>
              <a:t> Sector Banks </a:t>
            </a:r>
            <a:r>
              <a:rPr lang="en-US" sz="2000" b="1"/>
              <a:t>for rejecting</a:t>
            </a:r>
            <a:r>
              <a:rPr lang="en-US" sz="2000" b="1" baseline="0"/>
              <a:t> RTI applications in 2016-17 </a:t>
            </a:r>
          </a:p>
          <a:p>
            <a:pPr>
              <a:defRPr sz="2000" b="1"/>
            </a:pPr>
            <a:r>
              <a:rPr lang="en-US" sz="2000" b="1" baseline="0"/>
              <a:t>(minus RBI)</a:t>
            </a:r>
            <a:endParaRPr lang="en-US" sz="2000" b="1"/>
          </a:p>
        </c:rich>
      </c:tx>
      <c:layout>
        <c:manualLayout>
          <c:xMode val="edge"/>
          <c:yMode val="edge"/>
          <c:x val="0.13464010001007209"/>
          <c:y val="9.9950024987506252E-3"/>
        </c:manualLayout>
      </c:layout>
      <c:overlay val="0"/>
      <c:spPr>
        <a:noFill/>
        <a:ln>
          <a:noFill/>
        </a:ln>
        <a:effectLst/>
      </c:spPr>
      <c:txPr>
        <a:bodyPr rot="0" spcFirstLastPara="1" vertOverflow="ellipsis" vert="horz" wrap="square" anchor="ctr" anchorCtr="1"/>
        <a:lstStyle/>
        <a:p>
          <a:pPr>
            <a:defRPr sz="20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40"/>
      <c:rotY val="9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408678599148021E-2"/>
          <c:y val="0.18974024798624306"/>
          <c:w val="0.88934351603340778"/>
          <c:h val="0.78477942131296552"/>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rgbClr val="33CCFF"/>
              </a:solidFill>
              <a:ln w="25400">
                <a:solidFill>
                  <a:schemeClr val="lt1"/>
                </a:solidFill>
              </a:ln>
              <a:effectLst/>
              <a:sp3d contourW="25400">
                <a:contourClr>
                  <a:schemeClr val="lt1"/>
                </a:contourClr>
              </a:sp3d>
            </c:spPr>
          </c:dPt>
          <c:dPt>
            <c:idx val="4"/>
            <c:bubble3D val="0"/>
            <c:spPr>
              <a:solidFill>
                <a:srgbClr val="FF0000"/>
              </a:solidFill>
              <a:ln w="25400">
                <a:solidFill>
                  <a:schemeClr val="lt1"/>
                </a:solidFill>
              </a:ln>
              <a:effectLst/>
              <a:sp3d contourW="25400">
                <a:contourClr>
                  <a:schemeClr val="lt1"/>
                </a:contourClr>
              </a:sp3d>
            </c:spPr>
          </c:dPt>
          <c:dPt>
            <c:idx val="5"/>
            <c:bubble3D val="0"/>
            <c:spPr>
              <a:solidFill>
                <a:srgbClr val="FFFF00"/>
              </a:solidFill>
              <a:ln w="25400">
                <a:solidFill>
                  <a:schemeClr val="lt1"/>
                </a:solidFill>
              </a:ln>
              <a:effectLst/>
              <a:sp3d contourW="25400">
                <a:contourClr>
                  <a:schemeClr val="lt1"/>
                </a:contourClr>
              </a:sp3d>
            </c:spPr>
          </c:dPt>
          <c:dPt>
            <c:idx val="6"/>
            <c:bubble3D val="0"/>
            <c:spPr>
              <a:solidFill>
                <a:schemeClr val="accent2">
                  <a:lumMod val="75000"/>
                </a:schemeClr>
              </a:solidFill>
              <a:ln w="25400">
                <a:solidFill>
                  <a:schemeClr val="lt1"/>
                </a:solidFill>
              </a:ln>
              <a:effectLst/>
              <a:sp3d contourW="25400">
                <a:contourClr>
                  <a:schemeClr val="lt1"/>
                </a:contourClr>
              </a:sp3d>
            </c:spPr>
          </c:dPt>
          <c:dPt>
            <c:idx val="7"/>
            <c:bubble3D val="0"/>
            <c:spPr>
              <a:solidFill>
                <a:srgbClr val="FF99FF"/>
              </a:solidFill>
              <a:ln w="25400">
                <a:solidFill>
                  <a:schemeClr val="lt1"/>
                </a:solidFill>
              </a:ln>
              <a:effectLst/>
              <a:sp3d contourW="25400">
                <a:contourClr>
                  <a:schemeClr val="lt1"/>
                </a:contourClr>
              </a:sp3d>
            </c:spPr>
          </c:dPt>
          <c:dPt>
            <c:idx val="8"/>
            <c:bubble3D val="0"/>
            <c:spPr>
              <a:solidFill>
                <a:schemeClr val="bg2"/>
              </a:solidFill>
              <a:ln w="25400">
                <a:solidFill>
                  <a:schemeClr val="lt1"/>
                </a:solidFill>
              </a:ln>
              <a:effectLst/>
              <a:sp3d contourW="25400">
                <a:contourClr>
                  <a:schemeClr val="lt1"/>
                </a:contourClr>
              </a:sp3d>
            </c:spPr>
          </c:dPt>
          <c:dPt>
            <c:idx val="9"/>
            <c:bubble3D val="0"/>
            <c:spPr>
              <a:solidFill>
                <a:schemeClr val="accent6">
                  <a:lumMod val="75000"/>
                </a:schemeClr>
              </a:solidFill>
              <a:ln w="25400">
                <a:solidFill>
                  <a:schemeClr val="lt1"/>
                </a:solidFill>
              </a:ln>
              <a:effectLst/>
              <a:sp3d contourW="25400">
                <a:contourClr>
                  <a:schemeClr val="lt1"/>
                </a:contourClr>
              </a:sp3d>
            </c:spPr>
          </c:dPt>
          <c:dPt>
            <c:idx val="10"/>
            <c:bubble3D val="0"/>
            <c:spPr>
              <a:solidFill>
                <a:srgbClr val="FF9900"/>
              </a:solidFill>
              <a:ln w="25400">
                <a:solidFill>
                  <a:schemeClr val="lt1"/>
                </a:solidFill>
              </a:ln>
              <a:effectLst/>
              <a:sp3d contourW="25400">
                <a:contourClr>
                  <a:schemeClr val="lt1"/>
                </a:contourClr>
              </a:sp3d>
            </c:spPr>
          </c:dPt>
          <c:dPt>
            <c:idx val="11"/>
            <c:bubble3D val="0"/>
            <c:spPr>
              <a:solidFill>
                <a:schemeClr val="accent4">
                  <a:lumMod val="60000"/>
                  <a:lumOff val="4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Pt>
            <c:idx val="13"/>
            <c:bubble3D val="0"/>
            <c:spPr>
              <a:solidFill>
                <a:srgbClr val="7030A0"/>
              </a:solidFill>
              <a:ln w="25400">
                <a:solidFill>
                  <a:schemeClr val="lt1"/>
                </a:solidFill>
              </a:ln>
              <a:effectLst/>
              <a:sp3d contourW="25400">
                <a:contourClr>
                  <a:schemeClr val="lt1"/>
                </a:contourClr>
              </a:sp3d>
            </c:spPr>
          </c:dPt>
          <c:dLbls>
            <c:dLbl>
              <c:idx val="0"/>
              <c:layout>
                <c:manualLayout>
                  <c:x val="5.4625011602669159E-2"/>
                  <c:y val="-0.14317943390509469"/>
                </c:manualLayout>
              </c:layout>
              <c:tx>
                <c:rich>
                  <a:bodyPr/>
                  <a:lstStyle/>
                  <a:p>
                    <a:r>
                      <a:rPr lang="en-US"/>
                      <a:t>8(1)a-</a:t>
                    </a:r>
                    <a:fld id="{7C1B7013-17A3-4B8E-97D2-C6113DF13A6E}"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9.0697285864097685E-2"/>
                  <c:y val="-4.9950143038716865E-2"/>
                </c:manualLayout>
              </c:layout>
              <c:tx>
                <c:rich>
                  <a:bodyPr/>
                  <a:lstStyle/>
                  <a:p>
                    <a:r>
                      <a:rPr lang="en-US"/>
                      <a:t>8(1)b-</a:t>
                    </a:r>
                    <a:fld id="{4AEA7F7B-B29F-4E5F-ACE5-C71DC1E80D0B}"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7.0997908557141276E-2"/>
                  <c:y val="7.52112132909923E-3"/>
                </c:manualLayout>
              </c:layout>
              <c:tx>
                <c:rich>
                  <a:bodyPr/>
                  <a:lstStyle/>
                  <a:p>
                    <a:r>
                      <a:rPr lang="en-US"/>
                      <a:t>8(1)c-</a:t>
                    </a:r>
                    <a:fld id="{B3C5CE40-7E95-46C2-A30D-A810DD5E2CD8}"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2.6580639045401491E-2"/>
                  <c:y val="-9.6203866570651678E-3"/>
                </c:manualLayout>
              </c:layout>
              <c:tx>
                <c:rich>
                  <a:bodyPr/>
                  <a:lstStyle/>
                  <a:p>
                    <a:r>
                      <a:rPr lang="en-US"/>
                      <a:t>8(1)d-</a:t>
                    </a:r>
                    <a:fld id="{C01A67E9-6DDF-46F0-95B9-7C222464DB5A}"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layout>
                <c:manualLayout>
                  <c:x val="-7.9965952337221993E-2"/>
                  <c:y val="-3.1071236035525543E-2"/>
                </c:manualLayout>
              </c:layout>
              <c:tx>
                <c:rich>
                  <a:bodyPr/>
                  <a:lstStyle/>
                  <a:p>
                    <a:r>
                      <a:rPr lang="en-US"/>
                      <a:t>8(1)e-</a:t>
                    </a:r>
                    <a:fld id="{3A73385C-FBE7-4774-A3C2-D07AE0F37556}"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5"/>
              <c:layout>
                <c:manualLayout>
                  <c:x val="-1.6842217521906826E-2"/>
                  <c:y val="7.1880595135503118E-3"/>
                </c:manualLayout>
              </c:layout>
              <c:tx>
                <c:rich>
                  <a:bodyPr/>
                  <a:lstStyle/>
                  <a:p>
                    <a:r>
                      <a:rPr lang="en-US"/>
                      <a:t>8(1)f-</a:t>
                    </a:r>
                    <a:fld id="{F3CB0000-93B1-464F-A1D5-ECA5023517E6}"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6"/>
              <c:layout>
                <c:manualLayout>
                  <c:x val="-4.8414512520020776E-2"/>
                  <c:y val="-6.3927327674745307E-2"/>
                </c:manualLayout>
              </c:layout>
              <c:tx>
                <c:rich>
                  <a:bodyPr rot="0" spcFirstLastPara="1" vertOverflow="ellipsis" vert="horz" wrap="square" lIns="38100" tIns="19050" rIns="38100" bIns="19050" anchor="ctr" anchorCtr="1">
                    <a:noAutofit/>
                  </a:bodyPr>
                  <a:lstStyle/>
                  <a:p>
                    <a:pPr>
                      <a:defRPr sz="1300" b="0" i="0" u="none" strike="noStrike" kern="1200" baseline="0">
                        <a:solidFill>
                          <a:schemeClr val="tx1">
                            <a:lumMod val="75000"/>
                            <a:lumOff val="25000"/>
                          </a:schemeClr>
                        </a:solidFill>
                        <a:latin typeface="+mn-lt"/>
                        <a:ea typeface="+mn-ea"/>
                        <a:cs typeface="+mn-cs"/>
                      </a:defRPr>
                    </a:pPr>
                    <a:r>
                      <a:rPr lang="en-US"/>
                      <a:t>8(1)g-</a:t>
                    </a:r>
                    <a:fld id="{7AD8127B-8C85-472C-BD6D-9EB3F3E99290}" type="VALUE">
                      <a:rPr lang="en-US"/>
                      <a:pPr>
                        <a:defRPr sz="13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3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6987710057687486E-2"/>
                      <c:h val="3.9720139930034974E-2"/>
                    </c:manualLayout>
                  </c15:layout>
                  <c15:dlblFieldTable/>
                  <c15:showDataLabelsRange val="0"/>
                </c:ext>
              </c:extLst>
            </c:dLbl>
            <c:dLbl>
              <c:idx val="7"/>
              <c:layout>
                <c:manualLayout>
                  <c:x val="-4.205218140057549E-2"/>
                  <c:y val="-9.9696765790333333E-2"/>
                </c:manualLayout>
              </c:layout>
              <c:tx>
                <c:rich>
                  <a:bodyPr rot="0" spcFirstLastPara="1" vertOverflow="ellipsis" vert="horz" wrap="square" lIns="38100" tIns="19050" rIns="38100" bIns="19050" anchor="ctr" anchorCtr="1">
                    <a:noAutofit/>
                  </a:bodyPr>
                  <a:lstStyle/>
                  <a:p>
                    <a:pPr>
                      <a:defRPr sz="1300" b="0" i="0" u="none" strike="noStrike" kern="1200" baseline="0">
                        <a:solidFill>
                          <a:schemeClr val="tx1">
                            <a:lumMod val="75000"/>
                            <a:lumOff val="25000"/>
                          </a:schemeClr>
                        </a:solidFill>
                        <a:latin typeface="+mn-lt"/>
                        <a:ea typeface="+mn-ea"/>
                        <a:cs typeface="+mn-cs"/>
                      </a:defRPr>
                    </a:pPr>
                    <a:r>
                      <a:rPr lang="en-US"/>
                      <a:t>8(1)h-</a:t>
                    </a:r>
                    <a:fld id="{5E5971AB-4F1A-4AAD-8104-D6D5E8301938}" type="VALUE">
                      <a:rPr lang="en-US"/>
                      <a:pPr>
                        <a:defRPr sz="13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3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7020316027088032E-2"/>
                      <c:h val="4.571714142928536E-2"/>
                    </c:manualLayout>
                  </c15:layout>
                  <c15:dlblFieldTable/>
                  <c15:showDataLabelsRange val="0"/>
                </c:ext>
              </c:extLst>
            </c:dLbl>
            <c:dLbl>
              <c:idx val="8"/>
              <c:layout>
                <c:manualLayout>
                  <c:x val="-4.2390841099715811E-2"/>
                  <c:y val="-0.14423512653122258"/>
                </c:manualLayout>
              </c:layout>
              <c:tx>
                <c:rich>
                  <a:bodyPr/>
                  <a:lstStyle/>
                  <a:p>
                    <a:r>
                      <a:rPr lang="en-US"/>
                      <a:t>8(1)i-</a:t>
                    </a:r>
                    <a:fld id="{DEAF5E1C-1DCE-4583-BE5B-8FF3BE4E5E2E}"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9"/>
              <c:layout>
                <c:manualLayout>
                  <c:x val="-7.2263991831721178E-3"/>
                  <c:y val="-8.5675272599920506E-3"/>
                </c:manualLayout>
              </c:layout>
              <c:tx>
                <c:rich>
                  <a:bodyPr/>
                  <a:lstStyle/>
                  <a:p>
                    <a:r>
                      <a:rPr lang="en-US"/>
                      <a:t>8(1)j-</a:t>
                    </a:r>
                    <a:fld id="{6854EA02-D754-4489-B955-2F9282267FC4}"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0"/>
              <c:layout>
                <c:manualLayout>
                  <c:x val="-7.1973678233787405E-2"/>
                  <c:y val="1.467297847139404E-3"/>
                </c:manualLayout>
              </c:layout>
              <c:tx>
                <c:rich>
                  <a:bodyPr/>
                  <a:lstStyle/>
                  <a:p>
                    <a:r>
                      <a:rPr lang="en-US"/>
                      <a:t>Sec 9-</a:t>
                    </a:r>
                    <a:fld id="{413DA3D0-F880-477C-8E82-208F61C67D00}"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1"/>
              <c:layout>
                <c:manualLayout>
                  <c:x val="-2.3849163324110444E-3"/>
                  <c:y val="-2.7899436108717295E-2"/>
                </c:manualLayout>
              </c:layout>
              <c:tx>
                <c:rich>
                  <a:bodyPr/>
                  <a:lstStyle/>
                  <a:p>
                    <a:r>
                      <a:rPr lang="en-US"/>
                      <a:t>Sec 11-</a:t>
                    </a:r>
                    <a:fld id="{EFC8E46A-A476-4FD4-915D-DFEC0407870A}"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2"/>
              <c:layout>
                <c:manualLayout>
                  <c:x val="6.9983667391463056E-2"/>
                  <c:y val="-7.3031200934965592E-3"/>
                </c:manualLayout>
              </c:layout>
              <c:tx>
                <c:rich>
                  <a:bodyPr/>
                  <a:lstStyle/>
                  <a:p>
                    <a:r>
                      <a:rPr lang="en-US"/>
                      <a:t>Sec 24-</a:t>
                    </a:r>
                    <a:fld id="{2A7B7E6C-F735-4FA6-A806-6E047B75FE15}"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3"/>
              <c:layout>
                <c:manualLayout>
                  <c:x val="4.8188107412081389E-3"/>
                  <c:y val="-4.1832626993589823E-3"/>
                </c:manualLayout>
              </c:layout>
              <c:tx>
                <c:rich>
                  <a:bodyPr/>
                  <a:lstStyle/>
                  <a:p>
                    <a:r>
                      <a:rPr lang="en-US"/>
                      <a:t>Others-</a:t>
                    </a:r>
                    <a:fld id="{21FA5EC9-3EB5-4CE5-BC2F-DE961C2FC3B5}"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Sheet1!$A$2:$A$15</c:f>
              <c:strCache>
                <c:ptCount val="14"/>
                <c:pt idx="0">
                  <c:v>8(1)a</c:v>
                </c:pt>
                <c:pt idx="1">
                  <c:v>8(1)b</c:v>
                </c:pt>
                <c:pt idx="2">
                  <c:v>8(1)c</c:v>
                </c:pt>
                <c:pt idx="3">
                  <c:v>8(1)d</c:v>
                </c:pt>
                <c:pt idx="4">
                  <c:v>8(1)e</c:v>
                </c:pt>
                <c:pt idx="5">
                  <c:v>8(1)f</c:v>
                </c:pt>
                <c:pt idx="6">
                  <c:v>8(1)g</c:v>
                </c:pt>
                <c:pt idx="7">
                  <c:v>8(1)h</c:v>
                </c:pt>
                <c:pt idx="8">
                  <c:v>8(1)i</c:v>
                </c:pt>
                <c:pt idx="9">
                  <c:v>8(1)j</c:v>
                </c:pt>
                <c:pt idx="10">
                  <c:v>9</c:v>
                </c:pt>
                <c:pt idx="11">
                  <c:v>11</c:v>
                </c:pt>
                <c:pt idx="12">
                  <c:v>24</c:v>
                </c:pt>
                <c:pt idx="13">
                  <c:v>Others</c:v>
                </c:pt>
              </c:strCache>
            </c:strRef>
          </c:cat>
          <c:val>
            <c:numRef>
              <c:f>Sheet1!$B$2:$B$15</c:f>
              <c:numCache>
                <c:formatCode>General</c:formatCode>
                <c:ptCount val="14"/>
                <c:pt idx="0">
                  <c:v>12</c:v>
                </c:pt>
                <c:pt idx="1">
                  <c:v>11</c:v>
                </c:pt>
                <c:pt idx="2">
                  <c:v>5</c:v>
                </c:pt>
                <c:pt idx="3">
                  <c:v>4282</c:v>
                </c:pt>
                <c:pt idx="4">
                  <c:v>4945</c:v>
                </c:pt>
                <c:pt idx="5">
                  <c:v>164</c:v>
                </c:pt>
                <c:pt idx="6">
                  <c:v>226</c:v>
                </c:pt>
                <c:pt idx="7">
                  <c:v>320</c:v>
                </c:pt>
                <c:pt idx="8">
                  <c:v>223</c:v>
                </c:pt>
                <c:pt idx="9">
                  <c:v>6616</c:v>
                </c:pt>
                <c:pt idx="10">
                  <c:v>180</c:v>
                </c:pt>
                <c:pt idx="11">
                  <c:v>214</c:v>
                </c:pt>
                <c:pt idx="12">
                  <c:v>17</c:v>
                </c:pt>
                <c:pt idx="13">
                  <c:v>6625</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sz="2200" b="1" i="0" baseline="0">
                <a:effectLst/>
              </a:rPr>
              <a:t>(1.11) Exemptions invoked by Reserve bank of India for rejecting RTI applications in 2016-17 </a:t>
            </a:r>
            <a:endParaRPr lang="en-IN" sz="2200">
              <a:effectLst/>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5"/>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444510296428002E-2"/>
          <c:y val="0.15845767897797308"/>
          <c:w val="0.9043362813971686"/>
          <c:h val="0.67899433623428651"/>
        </c:manualLayout>
      </c:layout>
      <c:pie3DChart>
        <c:varyColors val="1"/>
        <c:ser>
          <c:idx val="0"/>
          <c:order val="0"/>
          <c:tx>
            <c:strRef>
              <c:f>Sheet1!$B$1</c:f>
              <c:strCache>
                <c:ptCount val="1"/>
                <c:pt idx="0">
                  <c:v>Sales</c:v>
                </c:pt>
              </c:strCache>
            </c:strRef>
          </c:tx>
          <c:dPt>
            <c:idx val="0"/>
            <c:bubble3D val="0"/>
            <c:spPr>
              <a:solidFill>
                <a:srgbClr val="FF6699"/>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rgbClr val="FF66FF"/>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6">
                  <a:lumMod val="75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rgbClr val="0070C0"/>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Pt>
            <c:idx val="13"/>
            <c:bubble3D val="0"/>
            <c:spPr>
              <a:solidFill>
                <a:srgbClr val="7030A0"/>
              </a:solidFill>
              <a:ln w="25400">
                <a:solidFill>
                  <a:schemeClr val="lt1"/>
                </a:solidFill>
              </a:ln>
              <a:effectLst/>
              <a:sp3d contourW="25400">
                <a:contourClr>
                  <a:schemeClr val="lt1"/>
                </a:contourClr>
              </a:sp3d>
            </c:spPr>
          </c:dPt>
          <c:dLbls>
            <c:dLbl>
              <c:idx val="0"/>
              <c:layout>
                <c:manualLayout>
                  <c:x val="-3.3495454645230279E-3"/>
                  <c:y val="-3.7507576746276923E-2"/>
                </c:manualLayout>
              </c:layout>
              <c:tx>
                <c:rich>
                  <a:bodyPr/>
                  <a:lstStyle/>
                  <a:p>
                    <a:r>
                      <a:rPr lang="en-US"/>
                      <a:t>8(1)a-</a:t>
                    </a:r>
                    <a:fld id="{E49693DC-683F-4C33-BAB2-474822E8FFE2}"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1.918245367843871E-2"/>
                  <c:y val="-3.9561784776902885E-2"/>
                </c:manualLayout>
              </c:layout>
              <c:tx>
                <c:rich>
                  <a:bodyPr/>
                  <a:lstStyle/>
                  <a:p>
                    <a:r>
                      <a:rPr lang="en-US"/>
                      <a:t>8(1)b-</a:t>
                    </a:r>
                    <a:fld id="{3EDC4624-0615-4C1B-A278-F129F69AC49C}"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4.4992709244677638E-2"/>
                  <c:y val="-2.6000839895013221E-2"/>
                </c:manualLayout>
              </c:layout>
              <c:tx>
                <c:rich>
                  <a:bodyPr/>
                  <a:lstStyle/>
                  <a:p>
                    <a:r>
                      <a:rPr lang="en-US"/>
                      <a:t>8(1)c-</a:t>
                    </a:r>
                    <a:fld id="{234EA227-5AF7-4503-B94B-A1AD579F4597}"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3.5611340661625218E-2"/>
                  <c:y val="-1.6493858267716537E-2"/>
                </c:manualLayout>
              </c:layout>
              <c:tx>
                <c:rich>
                  <a:bodyPr/>
                  <a:lstStyle/>
                  <a:p>
                    <a:r>
                      <a:rPr lang="en-US"/>
                      <a:t>8(1)d-</a:t>
                    </a:r>
                    <a:fld id="{7E168E94-083E-4BA8-9120-28D164850F2A}"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layout>
                <c:manualLayout>
                  <c:x val="3.9967660808075449E-2"/>
                  <c:y val="-3.3944356955380576E-3"/>
                </c:manualLayout>
              </c:layout>
              <c:tx>
                <c:rich>
                  <a:bodyPr/>
                  <a:lstStyle/>
                  <a:p>
                    <a:r>
                      <a:rPr lang="en-US"/>
                      <a:t>8(1)e-</a:t>
                    </a:r>
                    <a:fld id="{DCCE71DB-6619-48AD-B5D8-BBC362491B36}"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5"/>
              <c:layout>
                <c:manualLayout>
                  <c:x val="3.2316207998752525E-2"/>
                  <c:y val="2.020997375328084E-2"/>
                </c:manualLayout>
              </c:layout>
              <c:tx>
                <c:rich>
                  <a:bodyPr/>
                  <a:lstStyle/>
                  <a:p>
                    <a:r>
                      <a:rPr lang="en-US"/>
                      <a:t>8(1)f-</a:t>
                    </a:r>
                    <a:fld id="{CE923A36-A921-4FCD-9B75-8EABDD5F4736}"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6"/>
              <c:layout>
                <c:manualLayout>
                  <c:x val="2.776570491412576E-2"/>
                  <c:y val="3.557701696127763E-2"/>
                </c:manualLayout>
              </c:layout>
              <c:tx>
                <c:rich>
                  <a:bodyPr/>
                  <a:lstStyle/>
                  <a:p>
                    <a:r>
                      <a:rPr lang="en-US"/>
                      <a:t>8(1)g-</a:t>
                    </a:r>
                    <a:fld id="{721B3F0B-C35C-42FF-9C0B-F912A79BCE83}"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7"/>
              <c:layout>
                <c:manualLayout>
                  <c:x val="5.2241654611654316E-3"/>
                  <c:y val="-5.348459732007183E-3"/>
                </c:manualLayout>
              </c:layout>
              <c:tx>
                <c:rich>
                  <a:bodyPr/>
                  <a:lstStyle/>
                  <a:p>
                    <a:r>
                      <a:rPr lang="en-US"/>
                      <a:t>8(1)h-</a:t>
                    </a:r>
                    <a:fld id="{9B7D056B-2B67-4F82-AFAD-487957CB0E8F}"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8"/>
              <c:layout>
                <c:manualLayout>
                  <c:x val="2.6689746218998611E-2"/>
                  <c:y val="6.1739630612471605E-2"/>
                </c:manualLayout>
              </c:layout>
              <c:tx>
                <c:rich>
                  <a:bodyPr/>
                  <a:lstStyle/>
                  <a:p>
                    <a:r>
                      <a:rPr lang="en-US"/>
                      <a:t>8(1)i-</a:t>
                    </a:r>
                    <a:fld id="{6F0C2BA0-2D50-4809-B307-025248DCCBD6}"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9"/>
              <c:layout>
                <c:manualLayout>
                  <c:x val="-1.3822925599646686E-2"/>
                  <c:y val="2.6606575493852744E-2"/>
                </c:manualLayout>
              </c:layout>
              <c:tx>
                <c:rich>
                  <a:bodyPr/>
                  <a:lstStyle/>
                  <a:p>
                    <a:r>
                      <a:rPr lang="en-US"/>
                      <a:t>8(1)j-</a:t>
                    </a:r>
                    <a:fld id="{3BCDB051-7A50-470A-835C-FD068778D112}"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0"/>
              <c:layout>
                <c:manualLayout>
                  <c:x val="-1.8173015111462382E-2"/>
                  <c:y val="9.1721021060212599E-2"/>
                </c:manualLayout>
              </c:layout>
              <c:tx>
                <c:rich>
                  <a:bodyPr/>
                  <a:lstStyle/>
                  <a:p>
                    <a:r>
                      <a:rPr lang="en-US"/>
                      <a:t>Sec 9-</a:t>
                    </a:r>
                    <a:fld id="{6DE81CB0-07B3-48DB-A8F1-09AE824E2CF1}"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1"/>
              <c:layout>
                <c:manualLayout>
                  <c:x val="-0.10056689150415338"/>
                  <c:y val="5.3602277615850506E-2"/>
                </c:manualLayout>
              </c:layout>
              <c:tx>
                <c:rich>
                  <a:bodyPr/>
                  <a:lstStyle/>
                  <a:p>
                    <a:r>
                      <a:rPr lang="en-US"/>
                      <a:t>Sec 11-</a:t>
                    </a:r>
                    <a:fld id="{CF9D381D-F82D-4196-91CE-004765E97BDC}"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2"/>
              <c:layout>
                <c:manualLayout>
                  <c:x val="-9.4206844216157562E-2"/>
                  <c:y val="6.163483708182706E-3"/>
                </c:manualLayout>
              </c:layout>
              <c:tx>
                <c:rich>
                  <a:bodyPr/>
                  <a:lstStyle/>
                  <a:p>
                    <a:r>
                      <a:rPr lang="en-US"/>
                      <a:t>Sec 24-</a:t>
                    </a:r>
                    <a:fld id="{8BC3C8CF-BC81-407B-ACC0-FC23292F545F}"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3"/>
              <c:layout>
                <c:manualLayout>
                  <c:x val="1.962642458471569E-3"/>
                  <c:y val="-9.9248713910761149E-2"/>
                </c:manualLayout>
              </c:layout>
              <c:tx>
                <c:rich>
                  <a:bodyPr/>
                  <a:lstStyle/>
                  <a:p>
                    <a:r>
                      <a:rPr lang="en-US"/>
                      <a:t>Others-</a:t>
                    </a:r>
                    <a:fld id="{4EF8742D-EC79-45FA-B299-4A3C270B51B4}"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Sheet1!$A$2:$A$15</c:f>
              <c:strCache>
                <c:ptCount val="14"/>
                <c:pt idx="0">
                  <c:v>8(1)a</c:v>
                </c:pt>
                <c:pt idx="1">
                  <c:v>8(1)b</c:v>
                </c:pt>
                <c:pt idx="2">
                  <c:v>8(1)c</c:v>
                </c:pt>
                <c:pt idx="3">
                  <c:v>8(1)d</c:v>
                </c:pt>
                <c:pt idx="4">
                  <c:v>8(1)e</c:v>
                </c:pt>
                <c:pt idx="5">
                  <c:v>8(1)f</c:v>
                </c:pt>
                <c:pt idx="6">
                  <c:v>8(1)g</c:v>
                </c:pt>
                <c:pt idx="7">
                  <c:v>8(1)h</c:v>
                </c:pt>
                <c:pt idx="8">
                  <c:v>8(1)i</c:v>
                </c:pt>
                <c:pt idx="9">
                  <c:v>8(1)j</c:v>
                </c:pt>
                <c:pt idx="10">
                  <c:v>9</c:v>
                </c:pt>
                <c:pt idx="11">
                  <c:v>11</c:v>
                </c:pt>
                <c:pt idx="12">
                  <c:v>24</c:v>
                </c:pt>
                <c:pt idx="13">
                  <c:v>Others</c:v>
                </c:pt>
              </c:strCache>
            </c:strRef>
          </c:cat>
          <c:val>
            <c:numRef>
              <c:f>Sheet1!$B$2:$B$15</c:f>
              <c:numCache>
                <c:formatCode>General</c:formatCode>
                <c:ptCount val="14"/>
                <c:pt idx="0">
                  <c:v>99</c:v>
                </c:pt>
                <c:pt idx="1">
                  <c:v>0</c:v>
                </c:pt>
                <c:pt idx="2">
                  <c:v>11</c:v>
                </c:pt>
                <c:pt idx="3">
                  <c:v>4</c:v>
                </c:pt>
                <c:pt idx="4">
                  <c:v>6</c:v>
                </c:pt>
                <c:pt idx="5">
                  <c:v>0</c:v>
                </c:pt>
                <c:pt idx="6">
                  <c:v>16</c:v>
                </c:pt>
                <c:pt idx="7">
                  <c:v>2</c:v>
                </c:pt>
                <c:pt idx="8">
                  <c:v>0</c:v>
                </c:pt>
                <c:pt idx="9">
                  <c:v>6</c:v>
                </c:pt>
                <c:pt idx="10">
                  <c:v>0</c:v>
                </c:pt>
                <c:pt idx="11">
                  <c:v>0</c:v>
                </c:pt>
                <c:pt idx="12">
                  <c:v>0</c:v>
                </c:pt>
                <c:pt idx="13">
                  <c:v>191</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r>
              <a:rPr lang="en-US" sz="2400" b="1">
                <a:effectLst/>
              </a:rPr>
              <a:t>(1.12) 9 Public Sector Banks rejected more than </a:t>
            </a:r>
            <a:r>
              <a:rPr lang="en-US" sz="2400" b="1" baseline="0">
                <a:effectLst/>
              </a:rPr>
              <a:t>200 RTI applications </a:t>
            </a:r>
            <a:r>
              <a:rPr lang="en-US" sz="2400" b="1">
                <a:effectLst/>
              </a:rPr>
              <a:t>under "Others" category (2016-17)</a:t>
            </a:r>
            <a:endParaRPr lang="en-IN" sz="2400">
              <a:effectLst/>
            </a:endParaRPr>
          </a:p>
        </c:rich>
      </c:tx>
      <c:layout>
        <c:manualLayout>
          <c:xMode val="edge"/>
          <c:yMode val="edge"/>
          <c:x val="0.15316990323139099"/>
          <c:y val="9.8822366795684752E-3"/>
        </c:manualLayout>
      </c:layout>
      <c:overlay val="0"/>
      <c:spPr>
        <a:noFill/>
        <a:ln>
          <a:noFill/>
        </a:ln>
        <a:effectLst/>
      </c:spPr>
      <c:txPr>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Column1</c:v>
                </c:pt>
              </c:strCache>
            </c:strRef>
          </c:tx>
          <c:spPr>
            <a:solidFill>
              <a:srgbClr val="7030A0"/>
            </a:solidFill>
            <a:ln>
              <a:noFill/>
            </a:ln>
            <a:effectLst/>
            <a:sp3d/>
          </c:spPr>
          <c:invertIfNegative val="0"/>
          <c:dLbls>
            <c:dLbl>
              <c:idx val="0"/>
              <c:layout>
                <c:manualLayout>
                  <c:x val="1.8291985823710985E-2"/>
                  <c:y val="-1.317631557275796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291985823710985E-2"/>
                  <c:y val="-1.811743391254232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5729964559277046E-3"/>
                  <c:y val="-2.964671003870548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2864982279638731E-3"/>
                  <c:y val="-2.799967059211068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141151280573169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8594946838916203E-3"/>
                  <c:y val="-2.141151280573169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2864982279638731E-3"/>
                  <c:y val="-2.799967059211068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6767459972606645E-16"/>
                  <c:y val="-3.129374948530029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1.811743391254220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State Bank of India</c:v>
                </c:pt>
                <c:pt idx="1">
                  <c:v>Canara Bank</c:v>
                </c:pt>
                <c:pt idx="2">
                  <c:v>Punjab National Bank</c:v>
                </c:pt>
                <c:pt idx="3">
                  <c:v>Syndicate Bank</c:v>
                </c:pt>
                <c:pt idx="4">
                  <c:v>Bank of Baroda</c:v>
                </c:pt>
                <c:pt idx="5">
                  <c:v>Allahabad Bank</c:v>
                </c:pt>
                <c:pt idx="6">
                  <c:v>Indian Overseas Bank</c:v>
                </c:pt>
                <c:pt idx="7">
                  <c:v>Dena Bank</c:v>
                </c:pt>
                <c:pt idx="8">
                  <c:v>State Bank of Bikaner &amp; Jaipur</c:v>
                </c:pt>
              </c:strCache>
            </c:strRef>
          </c:cat>
          <c:val>
            <c:numRef>
              <c:f>Sheet1!$B$2:$B$10</c:f>
              <c:numCache>
                <c:formatCode>General</c:formatCode>
                <c:ptCount val="9"/>
                <c:pt idx="0">
                  <c:v>1709</c:v>
                </c:pt>
                <c:pt idx="1">
                  <c:v>712</c:v>
                </c:pt>
                <c:pt idx="2">
                  <c:v>597</c:v>
                </c:pt>
                <c:pt idx="3">
                  <c:v>592</c:v>
                </c:pt>
                <c:pt idx="4">
                  <c:v>570</c:v>
                </c:pt>
                <c:pt idx="5">
                  <c:v>533</c:v>
                </c:pt>
                <c:pt idx="6">
                  <c:v>315</c:v>
                </c:pt>
                <c:pt idx="7">
                  <c:v>221</c:v>
                </c:pt>
                <c:pt idx="8">
                  <c:v>219</c:v>
                </c:pt>
              </c:numCache>
            </c:numRef>
          </c:val>
        </c:ser>
        <c:dLbls>
          <c:showLegendKey val="0"/>
          <c:showVal val="0"/>
          <c:showCatName val="0"/>
          <c:showSerName val="0"/>
          <c:showPercent val="0"/>
          <c:showBubbleSize val="0"/>
        </c:dLbls>
        <c:gapWidth val="150"/>
        <c:shape val="box"/>
        <c:axId val="286804848"/>
        <c:axId val="286802888"/>
        <c:axId val="0"/>
      </c:bar3DChart>
      <c:catAx>
        <c:axId val="286804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286802888"/>
        <c:crosses val="autoZero"/>
        <c:auto val="1"/>
        <c:lblAlgn val="ctr"/>
        <c:lblOffset val="100"/>
        <c:noMultiLvlLbl val="0"/>
      </c:catAx>
      <c:valAx>
        <c:axId val="286802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04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2400" b="1"/>
              <a:t>(1.13) 15 Banks with less than 200 RTI applications rejected under "Others" category (2016-17)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Column1</c:v>
                </c:pt>
              </c:strCache>
            </c:strRef>
          </c:tx>
          <c:spPr>
            <a:solidFill>
              <a:srgbClr val="7030A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Reserve Bank of India</c:v>
                </c:pt>
                <c:pt idx="1">
                  <c:v>Corporation Bank</c:v>
                </c:pt>
                <c:pt idx="2">
                  <c:v>Andhra Bank</c:v>
                </c:pt>
                <c:pt idx="3">
                  <c:v>Bank of India</c:v>
                </c:pt>
                <c:pt idx="4">
                  <c:v>Oriental Bank of Commerce</c:v>
                </c:pt>
                <c:pt idx="5">
                  <c:v>State Bank of Hyderabad</c:v>
                </c:pt>
                <c:pt idx="6">
                  <c:v>IDBI Bank Ltd.</c:v>
                </c:pt>
                <c:pt idx="7">
                  <c:v>UCO Bank</c:v>
                </c:pt>
                <c:pt idx="8">
                  <c:v>State Bank of Travancore</c:v>
                </c:pt>
                <c:pt idx="9">
                  <c:v>State Bank of Patiala</c:v>
                </c:pt>
                <c:pt idx="10">
                  <c:v>Vijaya Bank</c:v>
                </c:pt>
                <c:pt idx="11">
                  <c:v>Punjab and Sind Bank</c:v>
                </c:pt>
                <c:pt idx="12">
                  <c:v>State Bank of Mysore</c:v>
                </c:pt>
                <c:pt idx="13">
                  <c:v>Bank of Maharashtra</c:v>
                </c:pt>
                <c:pt idx="14">
                  <c:v>United Bank of India</c:v>
                </c:pt>
              </c:strCache>
            </c:strRef>
          </c:cat>
          <c:val>
            <c:numRef>
              <c:f>Sheet1!$B$2:$B$16</c:f>
              <c:numCache>
                <c:formatCode>General</c:formatCode>
                <c:ptCount val="15"/>
                <c:pt idx="0">
                  <c:v>191</c:v>
                </c:pt>
                <c:pt idx="1">
                  <c:v>172</c:v>
                </c:pt>
                <c:pt idx="2">
                  <c:v>155</c:v>
                </c:pt>
                <c:pt idx="3">
                  <c:v>150</c:v>
                </c:pt>
                <c:pt idx="4">
                  <c:v>115</c:v>
                </c:pt>
                <c:pt idx="5">
                  <c:v>109</c:v>
                </c:pt>
                <c:pt idx="6">
                  <c:v>102</c:v>
                </c:pt>
                <c:pt idx="7">
                  <c:v>79</c:v>
                </c:pt>
                <c:pt idx="8">
                  <c:v>70</c:v>
                </c:pt>
                <c:pt idx="9">
                  <c:v>47</c:v>
                </c:pt>
                <c:pt idx="10">
                  <c:v>45</c:v>
                </c:pt>
                <c:pt idx="11">
                  <c:v>39</c:v>
                </c:pt>
                <c:pt idx="12">
                  <c:v>36</c:v>
                </c:pt>
                <c:pt idx="13">
                  <c:v>33</c:v>
                </c:pt>
                <c:pt idx="14">
                  <c:v>5</c:v>
                </c:pt>
              </c:numCache>
            </c:numRef>
          </c:val>
        </c:ser>
        <c:dLbls>
          <c:showLegendKey val="0"/>
          <c:showVal val="0"/>
          <c:showCatName val="0"/>
          <c:showSerName val="0"/>
          <c:showPercent val="0"/>
          <c:showBubbleSize val="0"/>
        </c:dLbls>
        <c:gapWidth val="150"/>
        <c:shape val="box"/>
        <c:axId val="286806024"/>
        <c:axId val="286821312"/>
        <c:axId val="0"/>
      </c:bar3DChart>
      <c:catAx>
        <c:axId val="286806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86821312"/>
        <c:crosses val="autoZero"/>
        <c:auto val="1"/>
        <c:lblAlgn val="ctr"/>
        <c:lblOffset val="100"/>
        <c:noMultiLvlLbl val="0"/>
      </c:catAx>
      <c:valAx>
        <c:axId val="286821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06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2200" b="1"/>
              <a:t>(1.14) 2 Banks rejected more RTI applications under "Others" category as compared</a:t>
            </a:r>
            <a:r>
              <a:rPr lang="en-IN" sz="2200" b="1" baseline="0"/>
              <a:t> to permissible exemptions (2016-17)</a:t>
            </a:r>
            <a:endParaRPr lang="en-IN" sz="2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Others</c:v>
                </c:pt>
              </c:strCache>
            </c:strRef>
          </c:tx>
          <c:spPr>
            <a:solidFill>
              <a:srgbClr val="7030A0"/>
            </a:solidFill>
            <a:ln>
              <a:noFill/>
            </a:ln>
            <a:effectLst/>
            <a:sp3d/>
          </c:spPr>
          <c:invertIfNegative val="0"/>
          <c:dLbls>
            <c:dLbl>
              <c:idx val="0"/>
              <c:layout>
                <c:manualLayout>
                  <c:x val="5.5695510767158785E-2"/>
                  <c:y val="-3.596441415862199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64129400570878E-2"/>
                  <c:y val="-3.028582244936589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Dena Bank</c:v>
                </c:pt>
                <c:pt idx="1">
                  <c:v>Reserve Bank of India</c:v>
                </c:pt>
              </c:strCache>
            </c:strRef>
          </c:cat>
          <c:val>
            <c:numRef>
              <c:f>Sheet1!$B$2:$B$3</c:f>
              <c:numCache>
                <c:formatCode>General</c:formatCode>
                <c:ptCount val="2"/>
                <c:pt idx="0">
                  <c:v>221</c:v>
                </c:pt>
                <c:pt idx="1">
                  <c:v>191</c:v>
                </c:pt>
              </c:numCache>
            </c:numRef>
          </c:val>
        </c:ser>
        <c:ser>
          <c:idx val="1"/>
          <c:order val="1"/>
          <c:tx>
            <c:strRef>
              <c:f>Sheet1!$C$1</c:f>
              <c:strCache>
                <c:ptCount val="1"/>
                <c:pt idx="0">
                  <c:v>Permissible exemptions</c:v>
                </c:pt>
              </c:strCache>
            </c:strRef>
          </c:tx>
          <c:spPr>
            <a:solidFill>
              <a:srgbClr val="FF0000"/>
            </a:solidFill>
            <a:ln>
              <a:noFill/>
            </a:ln>
            <a:effectLst/>
            <a:sp3d/>
          </c:spPr>
          <c:invertIfNegative val="0"/>
          <c:dLbls>
            <c:dLbl>
              <c:idx val="0"/>
              <c:layout>
                <c:manualLayout>
                  <c:x val="5.4489130501525838E-2"/>
                  <c:y val="-4.353586977096346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7088487155090392E-2"/>
                  <c:y val="-2.650009464319515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Dena Bank</c:v>
                </c:pt>
                <c:pt idx="1">
                  <c:v>Reserve Bank of India</c:v>
                </c:pt>
              </c:strCache>
            </c:strRef>
          </c:cat>
          <c:val>
            <c:numRef>
              <c:f>Sheet1!$C$2:$C$3</c:f>
              <c:numCache>
                <c:formatCode>General</c:formatCode>
                <c:ptCount val="2"/>
                <c:pt idx="0">
                  <c:v>207</c:v>
                </c:pt>
                <c:pt idx="1">
                  <c:v>144</c:v>
                </c:pt>
              </c:numCache>
            </c:numRef>
          </c:val>
        </c:ser>
        <c:dLbls>
          <c:showLegendKey val="0"/>
          <c:showVal val="0"/>
          <c:showCatName val="0"/>
          <c:showSerName val="0"/>
          <c:showPercent val="0"/>
          <c:showBubbleSize val="0"/>
        </c:dLbls>
        <c:gapWidth val="150"/>
        <c:shape val="box"/>
        <c:axId val="286815040"/>
        <c:axId val="286816608"/>
        <c:axId val="0"/>
      </c:bar3DChart>
      <c:catAx>
        <c:axId val="286815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286816608"/>
        <c:crosses val="autoZero"/>
        <c:auto val="1"/>
        <c:lblAlgn val="ctr"/>
        <c:lblOffset val="100"/>
        <c:noMultiLvlLbl val="0"/>
      </c:catAx>
      <c:valAx>
        <c:axId val="286816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1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r>
              <a:rPr lang="en-US" sz="2000" b="1" i="0" baseline="0">
                <a:effectLst/>
              </a:rPr>
              <a:t>(1.15) 3 Banks invoked Section 24 to reject RTI applications (2016-17) </a:t>
            </a:r>
            <a:endParaRPr lang="en-IN" sz="2000">
              <a:effectLst/>
            </a:endParaRPr>
          </a:p>
        </c:rich>
      </c:tx>
      <c:overlay val="0"/>
      <c:spPr>
        <a:noFill/>
        <a:ln>
          <a:noFill/>
        </a:ln>
        <a:effectLst/>
      </c:spPr>
      <c:txPr>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Column1</c:v>
                </c:pt>
              </c:strCache>
            </c:strRef>
          </c:tx>
          <c:spPr>
            <a:solidFill>
              <a:schemeClr val="accent2">
                <a:lumMod val="40000"/>
                <a:lumOff val="60000"/>
              </a:schemeClr>
            </a:solidFill>
            <a:ln>
              <a:noFill/>
            </a:ln>
            <a:effectLst/>
            <a:sp3d/>
          </c:spPr>
          <c:invertIfNegative val="0"/>
          <c:dLbls>
            <c:dLbl>
              <c:idx val="0"/>
              <c:layout>
                <c:manualLayout>
                  <c:x val="5.0649298662558878E-2"/>
                  <c:y val="-2.118131063708836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693E-2"/>
                  <c:y val="-4.58304274185513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5555555555555552E-2"/>
                  <c:y val="-4.58304274185513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Syndicate Bank</c:v>
                </c:pt>
                <c:pt idx="1">
                  <c:v>Allahabad Bank</c:v>
                </c:pt>
                <c:pt idx="2">
                  <c:v>Punjab and Sind Bank</c:v>
                </c:pt>
              </c:strCache>
            </c:strRef>
          </c:cat>
          <c:val>
            <c:numRef>
              <c:f>Sheet1!$B$2:$B$4</c:f>
              <c:numCache>
                <c:formatCode>General</c:formatCode>
                <c:ptCount val="3"/>
                <c:pt idx="0">
                  <c:v>7</c:v>
                </c:pt>
                <c:pt idx="1">
                  <c:v>5</c:v>
                </c:pt>
                <c:pt idx="2">
                  <c:v>5</c:v>
                </c:pt>
              </c:numCache>
            </c:numRef>
          </c:val>
        </c:ser>
        <c:dLbls>
          <c:showLegendKey val="0"/>
          <c:showVal val="0"/>
          <c:showCatName val="0"/>
          <c:showSerName val="0"/>
          <c:showPercent val="0"/>
          <c:showBubbleSize val="0"/>
        </c:dLbls>
        <c:gapWidth val="150"/>
        <c:shape val="box"/>
        <c:axId val="286824448"/>
        <c:axId val="286824840"/>
        <c:axId val="0"/>
      </c:bar3DChart>
      <c:catAx>
        <c:axId val="286824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286824840"/>
        <c:crosses val="autoZero"/>
        <c:auto val="1"/>
        <c:lblAlgn val="ctr"/>
        <c:lblOffset val="100"/>
        <c:noMultiLvlLbl val="0"/>
      </c:catAx>
      <c:valAx>
        <c:axId val="286824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24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2400" b="1"/>
              <a:t>(1.16) 12 Banks invoked Section 11 to</a:t>
            </a:r>
            <a:r>
              <a:rPr lang="en-US" sz="2400" b="1" baseline="0"/>
              <a:t> reject RTI applications (2016-17)</a:t>
            </a:r>
            <a:endParaRPr lang="en-US" sz="2400" b="1"/>
          </a:p>
        </c:rich>
      </c:tx>
      <c:layout>
        <c:manualLayout>
          <c:xMode val="edge"/>
          <c:yMode val="edge"/>
          <c:x val="0.17471474109390328"/>
          <c:y val="7.8701426463354644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solidFill>
              <a:schemeClr val="accent4">
                <a:lumMod val="60000"/>
                <a:lumOff val="40000"/>
              </a:schemeClr>
            </a:solidFill>
            <a:ln>
              <a:noFill/>
            </a:ln>
            <a:effectLst/>
            <a:sp3d/>
          </c:spPr>
          <c:invertIfNegative val="0"/>
          <c:dLbls>
            <c:dLbl>
              <c:idx val="0"/>
              <c:layout>
                <c:manualLayout>
                  <c:x val="2.6946914578280787E-2"/>
                  <c:y val="-3.9350713231677686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982304859426896E-3"/>
                  <c:y val="-1.180521396950319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3893829156561575E-3"/>
                  <c:y val="-1.377274963108706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9823048594269289E-3"/>
                  <c:y val="-9.8376783079194025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1858438875414769E-3"/>
                  <c:y val="-5.9026069847516712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3893829156561575E-3"/>
                  <c:y val="-9.8376783079194025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3893829156561575E-3"/>
                  <c:y val="-1.180521396950326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3173894941200962E-16"/>
                  <c:y val="-1.1805213969503197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5929219437707714E-3"/>
                  <c:y val="-7.8701426463354644E-3"/>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5.3893829156561575E-3"/>
                  <c:y val="-1.180521396950305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8.9823048594267971E-3"/>
                  <c:y val="-5.9026069847515983E-3"/>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5.3893829156561575E-3"/>
                  <c:y val="-9.837678307919331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State Bank of India</c:v>
                </c:pt>
                <c:pt idx="1">
                  <c:v>Punjab National Bank</c:v>
                </c:pt>
                <c:pt idx="2">
                  <c:v>Andhra Bank</c:v>
                </c:pt>
                <c:pt idx="3">
                  <c:v>Bank of Baroda</c:v>
                </c:pt>
                <c:pt idx="4">
                  <c:v>UCO Bank</c:v>
                </c:pt>
                <c:pt idx="5">
                  <c:v>Syndicate Bank</c:v>
                </c:pt>
                <c:pt idx="6">
                  <c:v>Vijaya Bank</c:v>
                </c:pt>
                <c:pt idx="7">
                  <c:v>State Bank of Patiala</c:v>
                </c:pt>
                <c:pt idx="8">
                  <c:v>Allahabad Bank</c:v>
                </c:pt>
                <c:pt idx="9">
                  <c:v>Bank of Maharashtra</c:v>
                </c:pt>
                <c:pt idx="10">
                  <c:v>Dena Bank</c:v>
                </c:pt>
                <c:pt idx="11">
                  <c:v>State Bank of Bikaner &amp; Jaipur</c:v>
                </c:pt>
              </c:strCache>
            </c:strRef>
          </c:cat>
          <c:val>
            <c:numRef>
              <c:f>Sheet1!$B$2:$B$13</c:f>
              <c:numCache>
                <c:formatCode>General</c:formatCode>
                <c:ptCount val="12"/>
                <c:pt idx="0">
                  <c:v>73</c:v>
                </c:pt>
                <c:pt idx="1">
                  <c:v>50</c:v>
                </c:pt>
                <c:pt idx="2">
                  <c:v>33</c:v>
                </c:pt>
                <c:pt idx="3">
                  <c:v>28</c:v>
                </c:pt>
                <c:pt idx="4">
                  <c:v>9</c:v>
                </c:pt>
                <c:pt idx="5">
                  <c:v>7</c:v>
                </c:pt>
                <c:pt idx="6">
                  <c:v>5</c:v>
                </c:pt>
                <c:pt idx="7">
                  <c:v>3</c:v>
                </c:pt>
                <c:pt idx="8">
                  <c:v>2</c:v>
                </c:pt>
                <c:pt idx="9">
                  <c:v>2</c:v>
                </c:pt>
                <c:pt idx="10">
                  <c:v>1</c:v>
                </c:pt>
                <c:pt idx="11">
                  <c:v>1</c:v>
                </c:pt>
              </c:numCache>
            </c:numRef>
          </c:val>
        </c:ser>
        <c:dLbls>
          <c:showLegendKey val="0"/>
          <c:showVal val="0"/>
          <c:showCatName val="0"/>
          <c:showSerName val="0"/>
          <c:showPercent val="0"/>
          <c:showBubbleSize val="0"/>
        </c:dLbls>
        <c:gapWidth val="150"/>
        <c:shape val="box"/>
        <c:axId val="286823664"/>
        <c:axId val="286824056"/>
        <c:axId val="0"/>
      </c:bar3DChart>
      <c:catAx>
        <c:axId val="286823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286824056"/>
        <c:crosses val="autoZero"/>
        <c:auto val="1"/>
        <c:lblAlgn val="ctr"/>
        <c:lblOffset val="100"/>
        <c:noMultiLvlLbl val="0"/>
      </c:catAx>
      <c:valAx>
        <c:axId val="286824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23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r>
              <a:rPr lang="en-US" sz="2400" b="1" i="0" baseline="0">
                <a:effectLst/>
              </a:rPr>
              <a:t>(1.17) 5 Banks invoked Section 9 to reject RTI applications (2016-17) </a:t>
            </a:r>
            <a:endParaRPr lang="en-IN" sz="2400">
              <a:effectLst/>
            </a:endParaRPr>
          </a:p>
        </c:rich>
      </c:tx>
      <c:overlay val="0"/>
      <c:spPr>
        <a:noFill/>
        <a:ln>
          <a:noFill/>
        </a:ln>
        <a:effectLst/>
      </c:spPr>
      <c:txPr>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Column3</c:v>
                </c:pt>
              </c:strCache>
            </c:strRef>
          </c:tx>
          <c:spPr>
            <a:solidFill>
              <a:srgbClr val="FF9900"/>
            </a:solidFill>
            <a:ln>
              <a:noFill/>
            </a:ln>
            <a:effectLst/>
            <a:sp3d/>
          </c:spPr>
          <c:invertIfNegative val="0"/>
          <c:dLbls>
            <c:dLbl>
              <c:idx val="0"/>
              <c:layout>
                <c:manualLayout>
                  <c:x val="3.7037037037037035E-2"/>
                  <c:y val="-2.059405940594059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8888E-2"/>
                  <c:y val="-3.168316831683168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833333333333332E-2"/>
                  <c:y val="-2.693069306930704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833333333333332E-2"/>
                  <c:y val="-3.009900990099009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3148148148147977E-2"/>
                  <c:y val="-2.85148514851486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Canara Bank</c:v>
                </c:pt>
                <c:pt idx="1">
                  <c:v>State Bank of India</c:v>
                </c:pt>
                <c:pt idx="2">
                  <c:v>Allahabad Bank</c:v>
                </c:pt>
                <c:pt idx="3">
                  <c:v>Bank of Baroda</c:v>
                </c:pt>
                <c:pt idx="4">
                  <c:v>State Bank of Hyderabad</c:v>
                </c:pt>
              </c:strCache>
            </c:strRef>
          </c:cat>
          <c:val>
            <c:numRef>
              <c:f>Sheet1!$B$2:$B$6</c:f>
              <c:numCache>
                <c:formatCode>General</c:formatCode>
                <c:ptCount val="5"/>
                <c:pt idx="0">
                  <c:v>150</c:v>
                </c:pt>
                <c:pt idx="1">
                  <c:v>18</c:v>
                </c:pt>
                <c:pt idx="2">
                  <c:v>9</c:v>
                </c:pt>
                <c:pt idx="3">
                  <c:v>2</c:v>
                </c:pt>
                <c:pt idx="4">
                  <c:v>1</c:v>
                </c:pt>
              </c:numCache>
            </c:numRef>
          </c:val>
        </c:ser>
        <c:dLbls>
          <c:showLegendKey val="0"/>
          <c:showVal val="0"/>
          <c:showCatName val="0"/>
          <c:showSerName val="0"/>
          <c:showPercent val="0"/>
          <c:showBubbleSize val="0"/>
        </c:dLbls>
        <c:gapWidth val="150"/>
        <c:shape val="box"/>
        <c:axId val="286814256"/>
        <c:axId val="286815432"/>
        <c:axId val="0"/>
      </c:bar3DChart>
      <c:catAx>
        <c:axId val="2868142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286815432"/>
        <c:crosses val="autoZero"/>
        <c:auto val="1"/>
        <c:lblAlgn val="ctr"/>
        <c:lblOffset val="100"/>
        <c:noMultiLvlLbl val="0"/>
      </c:catAx>
      <c:valAx>
        <c:axId val="286815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14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2400" b="1"/>
              <a:t>(1.18) 11 Banks invoked Section 8(1)(j)</a:t>
            </a:r>
            <a:r>
              <a:rPr lang="en-US" sz="2400" b="1" baseline="0"/>
              <a:t> to reject more than 200 RTI applications (2016-17)</a:t>
            </a:r>
            <a:endParaRPr lang="en-US" sz="24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Column1</c:v>
                </c:pt>
              </c:strCache>
            </c:strRef>
          </c:tx>
          <c:spPr>
            <a:solidFill>
              <a:schemeClr val="accent6">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State Bank of India</c:v>
                </c:pt>
                <c:pt idx="1">
                  <c:v>Canara Bank</c:v>
                </c:pt>
                <c:pt idx="2">
                  <c:v>Punjab National Bank</c:v>
                </c:pt>
                <c:pt idx="3">
                  <c:v>Syndicate Bank</c:v>
                </c:pt>
                <c:pt idx="4">
                  <c:v>Bank of Baroda</c:v>
                </c:pt>
                <c:pt idx="5">
                  <c:v>Allahabad Bank</c:v>
                </c:pt>
                <c:pt idx="6">
                  <c:v>State Bank of Bikaner &amp; Jaipur</c:v>
                </c:pt>
                <c:pt idx="7">
                  <c:v>Bank of Maharashtra</c:v>
                </c:pt>
                <c:pt idx="8">
                  <c:v>Bank of India</c:v>
                </c:pt>
                <c:pt idx="9">
                  <c:v>Oriental Bank of Commerce</c:v>
                </c:pt>
                <c:pt idx="10">
                  <c:v>Corporation Bank</c:v>
                </c:pt>
              </c:strCache>
            </c:strRef>
          </c:cat>
          <c:val>
            <c:numRef>
              <c:f>Sheet1!$B$2:$B$12</c:f>
              <c:numCache>
                <c:formatCode>General</c:formatCode>
                <c:ptCount val="11"/>
                <c:pt idx="0">
                  <c:v>1131</c:v>
                </c:pt>
                <c:pt idx="1">
                  <c:v>790</c:v>
                </c:pt>
                <c:pt idx="2">
                  <c:v>777</c:v>
                </c:pt>
                <c:pt idx="3">
                  <c:v>563</c:v>
                </c:pt>
                <c:pt idx="4">
                  <c:v>415</c:v>
                </c:pt>
                <c:pt idx="5">
                  <c:v>352</c:v>
                </c:pt>
                <c:pt idx="6">
                  <c:v>334</c:v>
                </c:pt>
                <c:pt idx="7">
                  <c:v>301</c:v>
                </c:pt>
                <c:pt idx="8">
                  <c:v>276</c:v>
                </c:pt>
                <c:pt idx="9">
                  <c:v>238</c:v>
                </c:pt>
                <c:pt idx="10">
                  <c:v>207</c:v>
                </c:pt>
              </c:numCache>
            </c:numRef>
          </c:val>
        </c:ser>
        <c:dLbls>
          <c:showLegendKey val="0"/>
          <c:showVal val="0"/>
          <c:showCatName val="0"/>
          <c:showSerName val="0"/>
          <c:showPercent val="0"/>
          <c:showBubbleSize val="0"/>
        </c:dLbls>
        <c:gapWidth val="150"/>
        <c:shape val="box"/>
        <c:axId val="286815824"/>
        <c:axId val="286813080"/>
        <c:axId val="0"/>
      </c:bar3DChart>
      <c:catAx>
        <c:axId val="286815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86813080"/>
        <c:crosses val="autoZero"/>
        <c:auto val="1"/>
        <c:lblAlgn val="ctr"/>
        <c:lblOffset val="100"/>
        <c:noMultiLvlLbl val="0"/>
      </c:catAx>
      <c:valAx>
        <c:axId val="286813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15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2000" b="1"/>
              <a:t>(1.19) 7 Banks invoked Section 8(1)(j) to reject between 100-200 RTI applications (2016-17)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Column1</c:v>
                </c:pt>
              </c:strCache>
            </c:strRef>
          </c:tx>
          <c:spPr>
            <a:solidFill>
              <a:schemeClr val="accent6">
                <a:lumMod val="75000"/>
              </a:schemeClr>
            </a:solidFill>
            <a:ln>
              <a:noFill/>
            </a:ln>
            <a:effectLst/>
            <a:sp3d/>
          </c:spPr>
          <c:invertIfNegative val="0"/>
          <c:dLbls>
            <c:dLbl>
              <c:idx val="0"/>
              <c:layout>
                <c:manualLayout>
                  <c:x val="1.0537407797681746E-2"/>
                  <c:y val="-1.170446232626188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1074815595363491E-2"/>
                  <c:y val="-5.8522311631309439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537407797681721E-2"/>
                  <c:y val="-1.755669348939288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8440463645943098E-2"/>
                  <c:y val="-1.4630577907827359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9030558482612312E-3"/>
                  <c:y val="-1.755669348939288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0537407797681675E-2"/>
                  <c:y val="-2.048280907095830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6343519494203458E-3"/>
                  <c:y val="-1.17044623262619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Andhra Bank</c:v>
                </c:pt>
                <c:pt idx="1">
                  <c:v>Punjab and Sind Bank</c:v>
                </c:pt>
                <c:pt idx="2">
                  <c:v>State Bank of Hyderabad</c:v>
                </c:pt>
                <c:pt idx="3">
                  <c:v>State Bank of Patiala</c:v>
                </c:pt>
                <c:pt idx="4">
                  <c:v>Dena Bank</c:v>
                </c:pt>
                <c:pt idx="5">
                  <c:v>UCO Bank</c:v>
                </c:pt>
                <c:pt idx="6">
                  <c:v>State Bank of Mysore</c:v>
                </c:pt>
              </c:strCache>
            </c:strRef>
          </c:cat>
          <c:val>
            <c:numRef>
              <c:f>Sheet1!$B$2:$B$8</c:f>
              <c:numCache>
                <c:formatCode>General</c:formatCode>
                <c:ptCount val="7"/>
                <c:pt idx="0">
                  <c:v>195</c:v>
                </c:pt>
                <c:pt idx="1">
                  <c:v>185</c:v>
                </c:pt>
                <c:pt idx="2">
                  <c:v>145</c:v>
                </c:pt>
                <c:pt idx="3">
                  <c:v>125</c:v>
                </c:pt>
                <c:pt idx="4">
                  <c:v>117</c:v>
                </c:pt>
                <c:pt idx="5">
                  <c:v>102</c:v>
                </c:pt>
                <c:pt idx="6">
                  <c:v>94</c:v>
                </c:pt>
              </c:numCache>
            </c:numRef>
          </c:val>
        </c:ser>
        <c:dLbls>
          <c:showLegendKey val="0"/>
          <c:showVal val="0"/>
          <c:showCatName val="0"/>
          <c:showSerName val="0"/>
          <c:showPercent val="0"/>
          <c:showBubbleSize val="0"/>
        </c:dLbls>
        <c:gapWidth val="150"/>
        <c:shape val="box"/>
        <c:axId val="286816216"/>
        <c:axId val="286813472"/>
        <c:axId val="0"/>
      </c:bar3DChart>
      <c:catAx>
        <c:axId val="286816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86813472"/>
        <c:crosses val="autoZero"/>
        <c:auto val="1"/>
        <c:lblAlgn val="ctr"/>
        <c:lblOffset val="100"/>
        <c:noMultiLvlLbl val="0"/>
      </c:catAx>
      <c:valAx>
        <c:axId val="28681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16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baseline="0"/>
              <a:t>(1.2) %age change in the number of RTI applications received by 25 Public Sector Banks and RBI </a:t>
            </a:r>
          </a:p>
          <a:p>
            <a:pPr>
              <a:defRPr/>
            </a:pPr>
            <a:r>
              <a:rPr lang="en-US" sz="1800" b="1" baseline="0"/>
              <a:t>in 2016-17 as compared to 2015-16</a:t>
            </a:r>
            <a:endParaRPr lang="en-US" sz="1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5925265888408791E-2"/>
          <c:y val="8.1894526134189322E-2"/>
          <c:w val="0.9247828064045186"/>
          <c:h val="0.75152236493176661"/>
        </c:manualLayout>
      </c:layout>
      <c:bar3DChart>
        <c:barDir val="col"/>
        <c:grouping val="clustered"/>
        <c:varyColors val="0"/>
        <c:ser>
          <c:idx val="0"/>
          <c:order val="0"/>
          <c:tx>
            <c:strRef>
              <c:f>Sheet1!$B$1</c:f>
              <c:strCache>
                <c:ptCount val="1"/>
                <c:pt idx="0">
                  <c:v>Column3</c:v>
                </c:pt>
              </c:strCache>
            </c:strRef>
          </c:tx>
          <c:spPr>
            <a:solidFill>
              <a:schemeClr val="accent1"/>
            </a:solidFill>
            <a:ln>
              <a:noFill/>
            </a:ln>
            <a:effectLst/>
            <a:sp3d/>
          </c:spPr>
          <c:invertIfNegative val="0"/>
          <c:dPt>
            <c:idx val="0"/>
            <c:invertIfNegative val="0"/>
            <c:bubble3D val="0"/>
            <c:spPr>
              <a:solidFill>
                <a:srgbClr val="FF0000"/>
              </a:solidFill>
              <a:ln>
                <a:noFill/>
              </a:ln>
              <a:effectLst/>
              <a:sp3d/>
            </c:spPr>
          </c:dPt>
          <c:dPt>
            <c:idx val="2"/>
            <c:invertIfNegative val="0"/>
            <c:bubble3D val="0"/>
            <c:spPr>
              <a:solidFill>
                <a:srgbClr val="FF0000"/>
              </a:solidFill>
              <a:ln>
                <a:noFill/>
              </a:ln>
              <a:effectLst/>
              <a:sp3d/>
            </c:spPr>
          </c:dPt>
          <c:dPt>
            <c:idx val="6"/>
            <c:invertIfNegative val="0"/>
            <c:bubble3D val="0"/>
            <c:spPr>
              <a:solidFill>
                <a:schemeClr val="tx1"/>
              </a:solidFill>
              <a:ln>
                <a:noFill/>
              </a:ln>
              <a:effectLst/>
              <a:sp3d/>
            </c:spPr>
          </c:dPt>
          <c:dPt>
            <c:idx val="12"/>
            <c:invertIfNegative val="0"/>
            <c:bubble3D val="0"/>
            <c:spPr>
              <a:solidFill>
                <a:srgbClr val="FF0000"/>
              </a:solidFill>
              <a:ln>
                <a:noFill/>
              </a:ln>
              <a:effectLst/>
              <a:sp3d/>
            </c:spPr>
          </c:dPt>
          <c:dPt>
            <c:idx val="13"/>
            <c:invertIfNegative val="0"/>
            <c:bubble3D val="0"/>
            <c:spPr>
              <a:solidFill>
                <a:srgbClr val="FF0000"/>
              </a:solidFill>
              <a:ln>
                <a:noFill/>
              </a:ln>
              <a:effectLst/>
              <a:sp3d/>
            </c:spPr>
          </c:dPt>
          <c:dPt>
            <c:idx val="14"/>
            <c:invertIfNegative val="0"/>
            <c:bubble3D val="0"/>
            <c:spPr>
              <a:solidFill>
                <a:srgbClr val="FF0000"/>
              </a:solidFill>
              <a:ln>
                <a:noFill/>
              </a:ln>
              <a:effectLst/>
              <a:sp3d/>
            </c:spPr>
          </c:dPt>
          <c:dPt>
            <c:idx val="16"/>
            <c:invertIfNegative val="0"/>
            <c:bubble3D val="0"/>
            <c:spPr>
              <a:solidFill>
                <a:srgbClr val="FF0000"/>
              </a:solidFill>
              <a:ln>
                <a:noFill/>
              </a:ln>
              <a:effectLst/>
              <a:sp3d/>
            </c:spPr>
          </c:dPt>
          <c:dPt>
            <c:idx val="17"/>
            <c:invertIfNegative val="0"/>
            <c:bubble3D val="0"/>
            <c:spPr>
              <a:solidFill>
                <a:srgbClr val="FF0000"/>
              </a:solidFill>
              <a:ln>
                <a:noFill/>
              </a:ln>
              <a:effectLst/>
              <a:sp3d/>
            </c:spPr>
          </c:dPt>
          <c:dPt>
            <c:idx val="18"/>
            <c:invertIfNegative val="0"/>
            <c:bubble3D val="0"/>
            <c:spPr>
              <a:solidFill>
                <a:srgbClr val="FF0000"/>
              </a:solidFill>
              <a:ln>
                <a:noFill/>
              </a:ln>
              <a:effectLst/>
              <a:sp3d/>
            </c:spPr>
          </c:dPt>
          <c:dPt>
            <c:idx val="19"/>
            <c:invertIfNegative val="0"/>
            <c:bubble3D val="0"/>
            <c:spPr>
              <a:solidFill>
                <a:srgbClr val="FF0000"/>
              </a:solidFill>
              <a:ln>
                <a:noFill/>
              </a:ln>
              <a:effectLst/>
              <a:sp3d/>
            </c:spPr>
          </c:dPt>
          <c:dPt>
            <c:idx val="20"/>
            <c:invertIfNegative val="0"/>
            <c:bubble3D val="0"/>
            <c:spPr>
              <a:solidFill>
                <a:srgbClr val="FF0000"/>
              </a:solidFill>
              <a:ln>
                <a:noFill/>
              </a:ln>
              <a:effectLst/>
              <a:sp3d/>
            </c:spPr>
          </c:dPt>
          <c:dPt>
            <c:idx val="23"/>
            <c:invertIfNegative val="0"/>
            <c:bubble3D val="0"/>
            <c:spPr>
              <a:solidFill>
                <a:srgbClr val="FF0000"/>
              </a:solidFill>
              <a:ln>
                <a:noFill/>
              </a:ln>
              <a:effectLst/>
              <a:sp3d/>
            </c:spPr>
          </c:dPt>
          <c:dLbls>
            <c:dLbl>
              <c:idx val="0"/>
              <c:layout>
                <c:manualLayout>
                  <c:x val="2.8943681548808035E-3"/>
                  <c:y val="5.853442728906088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369673717135431E-3"/>
                  <c:y val="5.073068953658574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9812989824717084E-3"/>
                  <c:y val="-3.9433832842889049E-3"/>
                </c:manualLayout>
              </c:layout>
              <c:tx>
                <c:rich>
                  <a:bodyPr/>
                  <a:lstStyle/>
                  <a:p>
                    <a:r>
                      <a:rPr lang="en-US"/>
                      <a:t>NR</a:t>
                    </a:r>
                  </a:p>
                </c:rich>
              </c:tx>
              <c:showLegendKey val="0"/>
              <c:showVal val="1"/>
              <c:showCatName val="0"/>
              <c:showSerName val="0"/>
              <c:showPercent val="0"/>
              <c:showBubbleSize val="0"/>
              <c:extLst>
                <c:ext xmlns:c15="http://schemas.microsoft.com/office/drawing/2012/chart" uri="{CE6537A1-D6FC-4f65-9D91-7224C49458BB}"/>
              </c:extLst>
            </c:dLbl>
            <c:dLbl>
              <c:idx val="12"/>
              <c:layout>
                <c:manualLayout>
                  <c:x val="3.8296031326689041E-3"/>
                  <c:y val="9.5600582850761007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7.548450878992077E-3"/>
                  <c:y val="6.389802086795629E-2"/>
                </c:manualLayout>
              </c:layout>
              <c:spPr>
                <a:noFill/>
                <a:ln>
                  <a:noFill/>
                </a:ln>
                <a:effectLst/>
              </c:spPr>
              <c:txPr>
                <a:bodyPr rot="0" spcFirstLastPara="1" vertOverflow="ellipsis" vert="horz" wrap="square" lIns="38100" tIns="19050" rIns="38100" bIns="19050" anchor="ctr" anchorCtr="1">
                  <a:noAutofit/>
                </a:bodyPr>
                <a:lstStyle/>
                <a:p>
                  <a:pPr>
                    <a:defRPr sz="13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3.7054009819967267E-2"/>
                      <c:h val="3.346257955958739E-2"/>
                    </c:manualLayout>
                  </c15:layout>
                </c:ext>
              </c:extLst>
            </c:dLbl>
            <c:dLbl>
              <c:idx val="14"/>
              <c:layout>
                <c:manualLayout>
                  <c:x val="4.80916972121529E-3"/>
                  <c:y val="4.6339812542087591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3.7852715219107566E-3"/>
                  <c:y val="0.10925771021379131"/>
                </c:manualLayout>
              </c:layout>
              <c:spPr>
                <a:noFill/>
                <a:ln>
                  <a:noFill/>
                </a:ln>
                <a:effectLst/>
              </c:spPr>
              <c:txPr>
                <a:bodyPr rot="0" spcFirstLastPara="1" vertOverflow="ellipsis" vert="horz" wrap="square" lIns="38100" tIns="19050" rIns="38100" bIns="19050" anchor="ctr" anchorCtr="1">
                  <a:noAutofit/>
                </a:bodyPr>
                <a:lstStyle/>
                <a:p>
                  <a:pPr>
                    <a:defRPr sz="13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3.7054009819967267E-2"/>
                      <c:h val="3.2913862062237828E-2"/>
                    </c:manualLayout>
                  </c15:layout>
                </c:ext>
              </c:extLst>
            </c:dLbl>
            <c:dLbl>
              <c:idx val="17"/>
              <c:layout>
                <c:manualLayout>
                  <c:x val="4.7870039158362156E-3"/>
                  <c:y val="4.7313566014943867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3.8295835327906685E-3"/>
                  <c:y val="7.0237050043898158E-2"/>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4.7648381104571421E-3"/>
                  <c:y val="5.316657094650059E-2"/>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4.7869794159883707E-3"/>
                  <c:y val="0.10730660423373337"/>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9.3523497778816925E-3"/>
                  <c:y val="-7.8041166715442393E-3"/>
                </c:manualLayout>
              </c:layout>
              <c:showLegendKey val="0"/>
              <c:showVal val="1"/>
              <c:showCatName val="0"/>
              <c:showSerName val="0"/>
              <c:showPercent val="0"/>
              <c:showBubbleSize val="0"/>
              <c:extLst>
                <c:ext xmlns:c15="http://schemas.microsoft.com/office/drawing/2012/chart" uri="{CE6537A1-D6FC-4f65-9D91-7224C49458BB}"/>
              </c:extLst>
            </c:dLbl>
            <c:dLbl>
              <c:idx val="23"/>
              <c:layout>
                <c:manualLayout>
                  <c:x val="4.6983406943199206E-3"/>
                  <c:y val="0.113159845361735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Sheet1!$A$2:$A$28</c:f>
              <c:strCache>
                <c:ptCount val="27"/>
                <c:pt idx="0">
                  <c:v>Allahabad Bank</c:v>
                </c:pt>
                <c:pt idx="1">
                  <c:v>Andhra Bank</c:v>
                </c:pt>
                <c:pt idx="2">
                  <c:v>Bank of Baroda</c:v>
                </c:pt>
                <c:pt idx="3">
                  <c:v>Bank of India</c:v>
                </c:pt>
                <c:pt idx="4">
                  <c:v>Bank of Maharashtra</c:v>
                </c:pt>
                <c:pt idx="5">
                  <c:v>Canara Bank</c:v>
                </c:pt>
                <c:pt idx="6">
                  <c:v>Central Bank of India</c:v>
                </c:pt>
                <c:pt idx="7">
                  <c:v>Corporation Bank</c:v>
                </c:pt>
                <c:pt idx="8">
                  <c:v>Dena Bank</c:v>
                </c:pt>
                <c:pt idx="9">
                  <c:v>IDBI Bank Ltd.</c:v>
                </c:pt>
                <c:pt idx="10">
                  <c:v>Indian Bank</c:v>
                </c:pt>
                <c:pt idx="11">
                  <c:v>Indian Overseas Bank</c:v>
                </c:pt>
                <c:pt idx="12">
                  <c:v>Oriental Bank of Commerce</c:v>
                </c:pt>
                <c:pt idx="13">
                  <c:v>Punjab and Sind Bank</c:v>
                </c:pt>
                <c:pt idx="14">
                  <c:v>Punjab National Bank</c:v>
                </c:pt>
                <c:pt idx="15">
                  <c:v>State Bank of Bikaner &amp; Jaipur</c:v>
                </c:pt>
                <c:pt idx="16">
                  <c:v>State Bank of Hyderabad</c:v>
                </c:pt>
                <c:pt idx="17">
                  <c:v>State Bank of India</c:v>
                </c:pt>
                <c:pt idx="18">
                  <c:v>State Bank of Mysore</c:v>
                </c:pt>
                <c:pt idx="19">
                  <c:v>State Bank of Patiala</c:v>
                </c:pt>
                <c:pt idx="20">
                  <c:v>State Bank of Travancore</c:v>
                </c:pt>
                <c:pt idx="21">
                  <c:v>Syndicate Bank</c:v>
                </c:pt>
                <c:pt idx="22">
                  <c:v>UCO Bank</c:v>
                </c:pt>
                <c:pt idx="23">
                  <c:v>Union Bank of India</c:v>
                </c:pt>
                <c:pt idx="24">
                  <c:v>United Bank of India</c:v>
                </c:pt>
                <c:pt idx="25">
                  <c:v>Vijaya Bank</c:v>
                </c:pt>
                <c:pt idx="26">
                  <c:v>Reserve Bank of India</c:v>
                </c:pt>
              </c:strCache>
            </c:strRef>
          </c:cat>
          <c:val>
            <c:numRef>
              <c:f>Sheet1!$B$2:$B$28</c:f>
              <c:numCache>
                <c:formatCode>0.00</c:formatCode>
                <c:ptCount val="27"/>
                <c:pt idx="0">
                  <c:v>-10.349462365591398</c:v>
                </c:pt>
                <c:pt idx="1">
                  <c:v>3.6659877800407332</c:v>
                </c:pt>
                <c:pt idx="2">
                  <c:v>-5.2040212891780016</c:v>
                </c:pt>
                <c:pt idx="3">
                  <c:v>9.4267515923566876</c:v>
                </c:pt>
                <c:pt idx="4">
                  <c:v>3.9940828402366866</c:v>
                </c:pt>
                <c:pt idx="5">
                  <c:v>36.563262460787733</c:v>
                </c:pt>
                <c:pt idx="6">
                  <c:v>0</c:v>
                </c:pt>
                <c:pt idx="7">
                  <c:v>34.926052332195674</c:v>
                </c:pt>
                <c:pt idx="8">
                  <c:v>2.189054726368159</c:v>
                </c:pt>
                <c:pt idx="9">
                  <c:v>1.6260162601626016</c:v>
                </c:pt>
                <c:pt idx="10">
                  <c:v>7.6547231270358305</c:v>
                </c:pt>
                <c:pt idx="11">
                  <c:v>5.7080131723380898</c:v>
                </c:pt>
                <c:pt idx="12">
                  <c:v>-36.574531095755184</c:v>
                </c:pt>
                <c:pt idx="13">
                  <c:v>-11.759799833194329</c:v>
                </c:pt>
                <c:pt idx="14">
                  <c:v>-5.6961251680723626</c:v>
                </c:pt>
                <c:pt idx="15">
                  <c:v>3.1374786081003991</c:v>
                </c:pt>
                <c:pt idx="16">
                  <c:v>-52.109464082098064</c:v>
                </c:pt>
                <c:pt idx="17">
                  <c:v>-9.8638784770171628E-2</c:v>
                </c:pt>
                <c:pt idx="18">
                  <c:v>-13.157894736842104</c:v>
                </c:pt>
                <c:pt idx="19">
                  <c:v>-4.9429657794676807</c:v>
                </c:pt>
                <c:pt idx="20">
                  <c:v>-37.917222963951936</c:v>
                </c:pt>
                <c:pt idx="21">
                  <c:v>17.936117936117935</c:v>
                </c:pt>
                <c:pt idx="22">
                  <c:v>112.41655540720961</c:v>
                </c:pt>
                <c:pt idx="23">
                  <c:v>-58.248472505091648</c:v>
                </c:pt>
                <c:pt idx="24">
                  <c:v>608.88888888888891</c:v>
                </c:pt>
                <c:pt idx="25">
                  <c:v>22.055137844611529</c:v>
                </c:pt>
                <c:pt idx="26">
                  <c:v>14.666205465236942</c:v>
                </c:pt>
              </c:numCache>
            </c:numRef>
          </c:val>
        </c:ser>
        <c:dLbls>
          <c:showLegendKey val="0"/>
          <c:showVal val="0"/>
          <c:showCatName val="0"/>
          <c:showSerName val="0"/>
          <c:showPercent val="0"/>
          <c:showBubbleSize val="0"/>
        </c:dLbls>
        <c:gapWidth val="150"/>
        <c:shape val="box"/>
        <c:axId val="286809552"/>
        <c:axId val="286809160"/>
        <c:axId val="0"/>
      </c:bar3DChart>
      <c:catAx>
        <c:axId val="2868095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crossAx val="286809160"/>
        <c:crosses val="autoZero"/>
        <c:auto val="1"/>
        <c:lblAlgn val="ctr"/>
        <c:lblOffset val="100"/>
        <c:noMultiLvlLbl val="0"/>
      </c:catAx>
      <c:valAx>
        <c:axId val="2868091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09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(1.20) 8 Banks invoked Section 8(1)(j) to reject less than 100 RTI applications (2016-17)</a:t>
            </a:r>
            <a:endParaRPr lang="en-IN">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7376619431544327E-2"/>
          <c:y val="0.2577467821965172"/>
          <c:w val="0.92682423670304548"/>
          <c:h val="0.40220640869089219"/>
        </c:manualLayout>
      </c:layout>
      <c:bar3DChart>
        <c:barDir val="col"/>
        <c:grouping val="clustered"/>
        <c:varyColors val="0"/>
        <c:ser>
          <c:idx val="0"/>
          <c:order val="0"/>
          <c:tx>
            <c:strRef>
              <c:f>Sheet1!$B$1</c:f>
              <c:strCache>
                <c:ptCount val="1"/>
                <c:pt idx="0">
                  <c:v>Column1</c:v>
                </c:pt>
              </c:strCache>
            </c:strRef>
          </c:tx>
          <c:spPr>
            <a:solidFill>
              <a:schemeClr val="accent6">
                <a:lumMod val="75000"/>
              </a:schemeClr>
            </a:solidFill>
            <a:ln>
              <a:noFill/>
            </a:ln>
            <a:effectLst/>
            <a:sp3d/>
          </c:spPr>
          <c:invertIfNegative val="0"/>
          <c:dLbls>
            <c:dLbl>
              <c:idx val="0"/>
              <c:layout>
                <c:manualLayout>
                  <c:x val="7.3251129288242969E-3"/>
                  <c:y val="-1.062511067823626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3251129288242744E-3"/>
                  <c:y val="-2.125022135647246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3251129288242301E-3"/>
                  <c:y val="-1.770851779706038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9.7668172384323369E-3"/>
                  <c:y val="-1.416681423764837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4417043096081063E-3"/>
                  <c:y val="-2.125022135647252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441704309608017E-3"/>
                  <c:y val="-1.770851779706045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441704309608017E-3"/>
                  <c:y val="-2.833362847529668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883408619216034E-3"/>
                  <c:y val="-1.416681423764830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IDBI Bank Ltd.</c:v>
                </c:pt>
                <c:pt idx="1">
                  <c:v>Vijaya Bank</c:v>
                </c:pt>
                <c:pt idx="2">
                  <c:v>Indian Bank</c:v>
                </c:pt>
                <c:pt idx="3">
                  <c:v>Indian Overseas Bank</c:v>
                </c:pt>
                <c:pt idx="4">
                  <c:v>United Bank of India</c:v>
                </c:pt>
                <c:pt idx="5">
                  <c:v>State Bank of Travancore</c:v>
                </c:pt>
                <c:pt idx="6">
                  <c:v>Union Bank of India</c:v>
                </c:pt>
                <c:pt idx="7">
                  <c:v>Reserve Bank of India</c:v>
                </c:pt>
              </c:strCache>
            </c:strRef>
          </c:cat>
          <c:val>
            <c:numRef>
              <c:f>Sheet1!$B$2:$B$9</c:f>
              <c:numCache>
                <c:formatCode>General</c:formatCode>
                <c:ptCount val="8"/>
                <c:pt idx="0">
                  <c:v>53</c:v>
                </c:pt>
                <c:pt idx="1">
                  <c:v>42</c:v>
                </c:pt>
                <c:pt idx="2">
                  <c:v>41</c:v>
                </c:pt>
                <c:pt idx="3">
                  <c:v>40</c:v>
                </c:pt>
                <c:pt idx="4">
                  <c:v>36</c:v>
                </c:pt>
                <c:pt idx="5">
                  <c:v>35</c:v>
                </c:pt>
                <c:pt idx="6">
                  <c:v>22</c:v>
                </c:pt>
                <c:pt idx="7">
                  <c:v>6</c:v>
                </c:pt>
              </c:numCache>
            </c:numRef>
          </c:val>
        </c:ser>
        <c:dLbls>
          <c:showLegendKey val="0"/>
          <c:showVal val="0"/>
          <c:showCatName val="0"/>
          <c:showSerName val="0"/>
          <c:showPercent val="0"/>
          <c:showBubbleSize val="0"/>
        </c:dLbls>
        <c:gapWidth val="150"/>
        <c:shape val="box"/>
        <c:axId val="286819744"/>
        <c:axId val="286818568"/>
        <c:axId val="0"/>
      </c:bar3DChart>
      <c:catAx>
        <c:axId val="286819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86818568"/>
        <c:crosses val="autoZero"/>
        <c:auto val="1"/>
        <c:lblAlgn val="ctr"/>
        <c:lblOffset val="100"/>
        <c:noMultiLvlLbl val="0"/>
      </c:catAx>
      <c:valAx>
        <c:axId val="286818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19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r>
              <a:rPr lang="en-US" sz="2300" b="1" i="0" baseline="0">
                <a:effectLst/>
              </a:rPr>
              <a:t>(1.21) 10 Banks invoked Section 8(1)(i) to reject RTI applications (2016-17) </a:t>
            </a:r>
            <a:endParaRPr lang="en-IN" sz="2300">
              <a:effectLst/>
            </a:endParaRPr>
          </a:p>
        </c:rich>
      </c:tx>
      <c:overlay val="0"/>
      <c:spPr>
        <a:noFill/>
        <a:ln>
          <a:noFill/>
        </a:ln>
        <a:effectLst/>
      </c:spPr>
      <c:txPr>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Column1</c:v>
                </c:pt>
              </c:strCache>
            </c:strRef>
          </c:tx>
          <c:spPr>
            <a:solidFill>
              <a:schemeClr val="bg2"/>
            </a:solidFill>
            <a:ln>
              <a:noFill/>
            </a:ln>
            <a:effectLst/>
            <a:sp3d/>
          </c:spPr>
          <c:invertIfNegative val="0"/>
          <c:dLbls>
            <c:dLbl>
              <c:idx val="0"/>
              <c:layout>
                <c:manualLayout>
                  <c:x val="1.9954648526077097E-2"/>
                  <c:y val="-7.945178269937432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326530612244899E-2"/>
                  <c:y val="-1.787665110735922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326530612244899E-2"/>
                  <c:y val="-5.9588837024530739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4512471655328731E-2"/>
                  <c:y val="-5.9588837024531468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4512471655328731E-2"/>
                  <c:y val="-1.390406197239050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9.070294784580565E-3"/>
                  <c:y val="-7.9451782699375053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7.2562358276642659E-3"/>
                  <c:y val="-7.9451782699375782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4512471655328799E-2"/>
                  <c:y val="-1.191776740490614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6326530612244764E-2"/>
                  <c:y val="-7.9451782699375782E-3"/>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2698412698412698E-2"/>
                  <c:y val="-5.958883702453073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State Bank of India</c:v>
                </c:pt>
                <c:pt idx="1">
                  <c:v>Corporation Bank</c:v>
                </c:pt>
                <c:pt idx="2">
                  <c:v>Vijaya Bank</c:v>
                </c:pt>
                <c:pt idx="3">
                  <c:v>State Bank of Patiala</c:v>
                </c:pt>
                <c:pt idx="4">
                  <c:v>UCO Bank</c:v>
                </c:pt>
                <c:pt idx="5">
                  <c:v>IDBI Bank Ltd.</c:v>
                </c:pt>
                <c:pt idx="6">
                  <c:v>Bank of India</c:v>
                </c:pt>
                <c:pt idx="7">
                  <c:v>Bank of Baroda</c:v>
                </c:pt>
                <c:pt idx="8">
                  <c:v>State Bank of Hyderabad</c:v>
                </c:pt>
                <c:pt idx="9">
                  <c:v>Syndicate Bank</c:v>
                </c:pt>
              </c:strCache>
            </c:strRef>
          </c:cat>
          <c:val>
            <c:numRef>
              <c:f>Sheet1!$B$2:$B$11</c:f>
              <c:numCache>
                <c:formatCode>General</c:formatCode>
                <c:ptCount val="10"/>
                <c:pt idx="0">
                  <c:v>83</c:v>
                </c:pt>
                <c:pt idx="1">
                  <c:v>63</c:v>
                </c:pt>
                <c:pt idx="2">
                  <c:v>33</c:v>
                </c:pt>
                <c:pt idx="3">
                  <c:v>16</c:v>
                </c:pt>
                <c:pt idx="4">
                  <c:v>15</c:v>
                </c:pt>
                <c:pt idx="5">
                  <c:v>4</c:v>
                </c:pt>
                <c:pt idx="6">
                  <c:v>3</c:v>
                </c:pt>
                <c:pt idx="7">
                  <c:v>2</c:v>
                </c:pt>
                <c:pt idx="8">
                  <c:v>2</c:v>
                </c:pt>
                <c:pt idx="9">
                  <c:v>2</c:v>
                </c:pt>
              </c:numCache>
            </c:numRef>
          </c:val>
        </c:ser>
        <c:dLbls>
          <c:showLegendKey val="0"/>
          <c:showVal val="0"/>
          <c:showCatName val="0"/>
          <c:showSerName val="0"/>
          <c:showPercent val="0"/>
          <c:showBubbleSize val="0"/>
        </c:dLbls>
        <c:gapWidth val="150"/>
        <c:shape val="box"/>
        <c:axId val="286819352"/>
        <c:axId val="286820136"/>
        <c:axId val="0"/>
      </c:bar3DChart>
      <c:catAx>
        <c:axId val="286819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286820136"/>
        <c:crosses val="autoZero"/>
        <c:auto val="1"/>
        <c:lblAlgn val="ctr"/>
        <c:lblOffset val="100"/>
        <c:noMultiLvlLbl val="0"/>
      </c:catAx>
      <c:valAx>
        <c:axId val="286820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19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0" i="0" u="none" strike="noStrike" kern="1200" spc="0" baseline="0">
                <a:solidFill>
                  <a:schemeClr val="tx1">
                    <a:lumMod val="65000"/>
                    <a:lumOff val="35000"/>
                  </a:schemeClr>
                </a:solidFill>
                <a:latin typeface="+mn-lt"/>
                <a:ea typeface="+mn-ea"/>
                <a:cs typeface="+mn-cs"/>
              </a:defRPr>
            </a:pPr>
            <a:r>
              <a:rPr lang="en-US" sz="2200" b="1"/>
              <a:t>(1.22)</a:t>
            </a:r>
            <a:r>
              <a:rPr lang="en-US" sz="2200" b="1" baseline="0"/>
              <a:t> </a:t>
            </a:r>
            <a:r>
              <a:rPr lang="en-US" sz="2200" b="1"/>
              <a:t>11 Banks invoked Section 8(1)(h) to reject</a:t>
            </a:r>
            <a:r>
              <a:rPr lang="en-US" sz="2200" b="1" baseline="0"/>
              <a:t> 10 or more RTI applications (2016-17)</a:t>
            </a:r>
            <a:endParaRPr lang="en-US" sz="2200" b="1"/>
          </a:p>
        </c:rich>
      </c:tx>
      <c:overlay val="0"/>
      <c:spPr>
        <a:noFill/>
        <a:ln>
          <a:noFill/>
        </a:ln>
        <a:effectLst/>
      </c:spPr>
      <c:txPr>
        <a:bodyPr rot="0" spcFirstLastPara="1" vertOverflow="ellipsis" vert="horz" wrap="square" anchor="ctr" anchorCtr="1"/>
        <a:lstStyle/>
        <a:p>
          <a:pPr>
            <a:defRPr sz="22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solidFill>
              <a:srgbClr val="FF99FF"/>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Syndicate Bank</c:v>
                </c:pt>
                <c:pt idx="1">
                  <c:v>Bank of India</c:v>
                </c:pt>
                <c:pt idx="2">
                  <c:v>State Bank of India</c:v>
                </c:pt>
                <c:pt idx="3">
                  <c:v>Punjab National Bank</c:v>
                </c:pt>
                <c:pt idx="4">
                  <c:v>Oriental Bank of Commerce</c:v>
                </c:pt>
                <c:pt idx="5">
                  <c:v>Dena Bank</c:v>
                </c:pt>
                <c:pt idx="6">
                  <c:v>Corporation Bank</c:v>
                </c:pt>
                <c:pt idx="7">
                  <c:v>Andhra Bank</c:v>
                </c:pt>
                <c:pt idx="8">
                  <c:v>Punjab and Sind Bank</c:v>
                </c:pt>
                <c:pt idx="9">
                  <c:v>Allahabad Bank</c:v>
                </c:pt>
                <c:pt idx="10">
                  <c:v>Bank of Baroda</c:v>
                </c:pt>
              </c:strCache>
            </c:strRef>
          </c:cat>
          <c:val>
            <c:numRef>
              <c:f>Sheet1!$B$2:$B$12</c:f>
              <c:numCache>
                <c:formatCode>General</c:formatCode>
                <c:ptCount val="11"/>
                <c:pt idx="0">
                  <c:v>62</c:v>
                </c:pt>
                <c:pt idx="1">
                  <c:v>43</c:v>
                </c:pt>
                <c:pt idx="2">
                  <c:v>39</c:v>
                </c:pt>
                <c:pt idx="3">
                  <c:v>34</c:v>
                </c:pt>
                <c:pt idx="4">
                  <c:v>21</c:v>
                </c:pt>
                <c:pt idx="5">
                  <c:v>19</c:v>
                </c:pt>
                <c:pt idx="6">
                  <c:v>16</c:v>
                </c:pt>
                <c:pt idx="7">
                  <c:v>12</c:v>
                </c:pt>
                <c:pt idx="8">
                  <c:v>12</c:v>
                </c:pt>
                <c:pt idx="9">
                  <c:v>10</c:v>
                </c:pt>
                <c:pt idx="10">
                  <c:v>10</c:v>
                </c:pt>
              </c:numCache>
            </c:numRef>
          </c:val>
        </c:ser>
        <c:dLbls>
          <c:showLegendKey val="0"/>
          <c:showVal val="0"/>
          <c:showCatName val="0"/>
          <c:showSerName val="0"/>
          <c:showPercent val="0"/>
          <c:showBubbleSize val="0"/>
        </c:dLbls>
        <c:gapWidth val="150"/>
        <c:shape val="box"/>
        <c:axId val="286820528"/>
        <c:axId val="286820920"/>
        <c:axId val="0"/>
      </c:bar3DChart>
      <c:catAx>
        <c:axId val="286820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86820920"/>
        <c:crosses val="autoZero"/>
        <c:auto val="1"/>
        <c:lblAlgn val="ctr"/>
        <c:lblOffset val="100"/>
        <c:noMultiLvlLbl val="0"/>
      </c:catAx>
      <c:valAx>
        <c:axId val="286820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2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00" b="0" i="0" u="none" strike="noStrike" kern="1200" spc="0" baseline="0">
                <a:solidFill>
                  <a:schemeClr val="tx1">
                    <a:lumMod val="65000"/>
                    <a:lumOff val="35000"/>
                  </a:schemeClr>
                </a:solidFill>
                <a:latin typeface="+mn-lt"/>
                <a:ea typeface="+mn-ea"/>
                <a:cs typeface="+mn-cs"/>
              </a:defRPr>
            </a:pPr>
            <a:r>
              <a:rPr lang="en-US" sz="2100" b="1"/>
              <a:t>(1.23) 13 Banks invoked Section 8(1)(h) to reject less than 10 RTI applications (2016-17)</a:t>
            </a:r>
          </a:p>
        </c:rich>
      </c:tx>
      <c:overlay val="0"/>
      <c:spPr>
        <a:noFill/>
        <a:ln>
          <a:noFill/>
        </a:ln>
        <a:effectLst/>
      </c:spPr>
      <c:txPr>
        <a:bodyPr rot="0" spcFirstLastPara="1" vertOverflow="ellipsis" vert="horz" wrap="square" anchor="ctr" anchorCtr="1"/>
        <a:lstStyle/>
        <a:p>
          <a:pPr>
            <a:defRPr sz="21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Column1</c:v>
                </c:pt>
              </c:strCache>
            </c:strRef>
          </c:tx>
          <c:spPr>
            <a:solidFill>
              <a:srgbClr val="FF99FF"/>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Union Bank of India</c:v>
                </c:pt>
                <c:pt idx="1">
                  <c:v>IDBI Bank Ltd.</c:v>
                </c:pt>
                <c:pt idx="2">
                  <c:v>Indian Bank</c:v>
                </c:pt>
                <c:pt idx="3">
                  <c:v>Bank of Maharashtra</c:v>
                </c:pt>
                <c:pt idx="4">
                  <c:v>Indian Overseas Bank</c:v>
                </c:pt>
                <c:pt idx="5">
                  <c:v>UCO Bank</c:v>
                </c:pt>
                <c:pt idx="6">
                  <c:v>Reserve Bank of India</c:v>
                </c:pt>
                <c:pt idx="7">
                  <c:v>State Bank of Mysore</c:v>
                </c:pt>
                <c:pt idx="8">
                  <c:v>State Bank of Patiala</c:v>
                </c:pt>
                <c:pt idx="9">
                  <c:v>State Bank of Travancore</c:v>
                </c:pt>
                <c:pt idx="10">
                  <c:v>United Bank of India</c:v>
                </c:pt>
                <c:pt idx="11">
                  <c:v>State Bank of Bikaner &amp; Jaipur</c:v>
                </c:pt>
                <c:pt idx="12">
                  <c:v>State Bank of Hyderabad</c:v>
                </c:pt>
              </c:strCache>
            </c:strRef>
          </c:cat>
          <c:val>
            <c:numRef>
              <c:f>Sheet1!$B$2:$B$14</c:f>
              <c:numCache>
                <c:formatCode>General</c:formatCode>
                <c:ptCount val="13"/>
                <c:pt idx="0">
                  <c:v>8</c:v>
                </c:pt>
                <c:pt idx="1">
                  <c:v>7</c:v>
                </c:pt>
                <c:pt idx="2">
                  <c:v>6</c:v>
                </c:pt>
                <c:pt idx="3">
                  <c:v>4</c:v>
                </c:pt>
                <c:pt idx="4">
                  <c:v>4</c:v>
                </c:pt>
                <c:pt idx="5">
                  <c:v>3</c:v>
                </c:pt>
                <c:pt idx="6">
                  <c:v>2</c:v>
                </c:pt>
                <c:pt idx="7">
                  <c:v>2</c:v>
                </c:pt>
                <c:pt idx="8">
                  <c:v>2</c:v>
                </c:pt>
                <c:pt idx="9">
                  <c:v>2</c:v>
                </c:pt>
                <c:pt idx="10">
                  <c:v>2</c:v>
                </c:pt>
                <c:pt idx="11">
                  <c:v>1</c:v>
                </c:pt>
                <c:pt idx="12">
                  <c:v>1</c:v>
                </c:pt>
              </c:numCache>
            </c:numRef>
          </c:val>
        </c:ser>
        <c:dLbls>
          <c:showLegendKey val="0"/>
          <c:showVal val="0"/>
          <c:showCatName val="0"/>
          <c:showSerName val="0"/>
          <c:showPercent val="0"/>
          <c:showBubbleSize val="0"/>
        </c:dLbls>
        <c:gapWidth val="150"/>
        <c:shape val="box"/>
        <c:axId val="286822488"/>
        <c:axId val="286822880"/>
        <c:axId val="0"/>
      </c:bar3DChart>
      <c:catAx>
        <c:axId val="2868224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86822880"/>
        <c:crosses val="autoZero"/>
        <c:auto val="1"/>
        <c:lblAlgn val="ctr"/>
        <c:lblOffset val="100"/>
        <c:noMultiLvlLbl val="0"/>
      </c:catAx>
      <c:valAx>
        <c:axId val="28682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22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2000" b="1"/>
              <a:t>(1.24) 10 Banks invoked Section 8(1)(g) to</a:t>
            </a:r>
            <a:r>
              <a:rPr lang="en-US" sz="2000" b="1" baseline="0"/>
              <a:t> reject 10 or more RTI applications (2016-17)</a:t>
            </a:r>
            <a:endParaRPr lang="en-US" sz="2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374969995317303"/>
          <c:y val="0.15655490906884453"/>
          <c:w val="0.92865360974618305"/>
          <c:h val="0.62761492281747833"/>
        </c:manualLayout>
      </c:layout>
      <c:bar3DChart>
        <c:barDir val="col"/>
        <c:grouping val="clustered"/>
        <c:varyColors val="0"/>
        <c:ser>
          <c:idx val="0"/>
          <c:order val="0"/>
          <c:tx>
            <c:strRef>
              <c:f>Sheet1!$B$1</c:f>
              <c:strCache>
                <c:ptCount val="1"/>
                <c:pt idx="0">
                  <c:v>Series 1</c:v>
                </c:pt>
              </c:strCache>
            </c:strRef>
          </c:tx>
          <c:spPr>
            <a:solidFill>
              <a:schemeClr val="accent2">
                <a:lumMod val="75000"/>
              </a:schemeClr>
            </a:solidFill>
            <a:ln>
              <a:noFill/>
            </a:ln>
            <a:effectLst/>
            <a:sp3d/>
          </c:spPr>
          <c:invertIfNegative val="0"/>
          <c:dLbls>
            <c:dLbl>
              <c:idx val="0"/>
              <c:layout>
                <c:manualLayout>
                  <c:x val="2.0964911245164818E-2"/>
                  <c:y val="-5.638567803777857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98262519346947E-2"/>
                  <c:y val="-1.315665820881499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9913125967347349E-3"/>
                  <c:y val="-1.69157034113335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0984073094013643E-2"/>
                  <c:y val="-1.69157034113335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9869688951021015E-3"/>
                  <c:y val="-1.879522601259286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7.9884167956462398E-3"/>
                  <c:y val="-2.631331641762992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8.9869688951021015E-3"/>
                  <c:y val="-1.69157034113335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8.9869688951021015E-3"/>
                  <c:y val="-1.315665820881496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8.9869688951021015E-3"/>
                  <c:y val="-1.87952260125928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8.9869688951021015E-3"/>
                  <c:y val="-1.69157034113335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State Bank of India</c:v>
                </c:pt>
                <c:pt idx="1">
                  <c:v>UCO Bank</c:v>
                </c:pt>
                <c:pt idx="2">
                  <c:v>Bank of India</c:v>
                </c:pt>
                <c:pt idx="3">
                  <c:v>Reserve Bank of India</c:v>
                </c:pt>
                <c:pt idx="4">
                  <c:v>Allahabad Bank</c:v>
                </c:pt>
                <c:pt idx="5">
                  <c:v>Punjab National Bank</c:v>
                </c:pt>
                <c:pt idx="6">
                  <c:v>Vijaya Bank</c:v>
                </c:pt>
                <c:pt idx="7">
                  <c:v>Andhra Bank</c:v>
                </c:pt>
                <c:pt idx="8">
                  <c:v>Bank of Baroda</c:v>
                </c:pt>
                <c:pt idx="9">
                  <c:v>State Bank of Patiala</c:v>
                </c:pt>
              </c:strCache>
            </c:strRef>
          </c:cat>
          <c:val>
            <c:numRef>
              <c:f>Sheet1!$B$2:$B$11</c:f>
              <c:numCache>
                <c:formatCode>General</c:formatCode>
                <c:ptCount val="10"/>
                <c:pt idx="0">
                  <c:v>60</c:v>
                </c:pt>
                <c:pt idx="1">
                  <c:v>47</c:v>
                </c:pt>
                <c:pt idx="2">
                  <c:v>34</c:v>
                </c:pt>
                <c:pt idx="3">
                  <c:v>16</c:v>
                </c:pt>
                <c:pt idx="4">
                  <c:v>13</c:v>
                </c:pt>
                <c:pt idx="5">
                  <c:v>12</c:v>
                </c:pt>
                <c:pt idx="6">
                  <c:v>12</c:v>
                </c:pt>
                <c:pt idx="7">
                  <c:v>10</c:v>
                </c:pt>
                <c:pt idx="8">
                  <c:v>10</c:v>
                </c:pt>
                <c:pt idx="9">
                  <c:v>10</c:v>
                </c:pt>
              </c:numCache>
            </c:numRef>
          </c:val>
        </c:ser>
        <c:dLbls>
          <c:showLegendKey val="0"/>
          <c:showVal val="0"/>
          <c:showCatName val="0"/>
          <c:showSerName val="0"/>
          <c:showPercent val="0"/>
          <c:showBubbleSize val="0"/>
        </c:dLbls>
        <c:gapWidth val="150"/>
        <c:shape val="box"/>
        <c:axId val="286826408"/>
        <c:axId val="286825232"/>
        <c:axId val="0"/>
      </c:bar3DChart>
      <c:catAx>
        <c:axId val="286826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286825232"/>
        <c:crosses val="autoZero"/>
        <c:auto val="1"/>
        <c:lblAlgn val="ctr"/>
        <c:lblOffset val="100"/>
        <c:noMultiLvlLbl val="0"/>
      </c:catAx>
      <c:valAx>
        <c:axId val="286825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26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2000" b="1"/>
              <a:t>(1.25) 9 Banks invoked Section 8(1)(g) to</a:t>
            </a:r>
            <a:r>
              <a:rPr lang="en-US" sz="2000" b="1" baseline="0"/>
              <a:t> reject less than 10 RTI applications (2016-17)</a:t>
            </a:r>
            <a:endParaRPr lang="en-US" sz="2000" b="1"/>
          </a:p>
        </c:rich>
      </c:tx>
      <c:layout>
        <c:manualLayout>
          <c:xMode val="edge"/>
          <c:yMode val="edge"/>
          <c:x val="0.18839567513953803"/>
          <c:y val="1.2222448563862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585357979985117"/>
          <c:y val="0.25201566141571885"/>
          <c:w val="0.77062276306370792"/>
          <c:h val="0.4585376690411152"/>
        </c:manualLayout>
      </c:layout>
      <c:bar3DChart>
        <c:barDir val="col"/>
        <c:grouping val="clustered"/>
        <c:varyColors val="0"/>
        <c:ser>
          <c:idx val="0"/>
          <c:order val="0"/>
          <c:tx>
            <c:strRef>
              <c:f>Sheet1!$B$1</c:f>
              <c:strCache>
                <c:ptCount val="1"/>
                <c:pt idx="0">
                  <c:v>Series 1</c:v>
                </c:pt>
              </c:strCache>
            </c:strRef>
          </c:tx>
          <c:spPr>
            <a:solidFill>
              <a:schemeClr val="accent2">
                <a:lumMod val="75000"/>
              </a:schemeClr>
            </a:solidFill>
            <a:ln>
              <a:noFill/>
            </a:ln>
            <a:effectLst/>
            <a:sp3d/>
          </c:spPr>
          <c:invertIfNegative val="0"/>
          <c:dLbls>
            <c:dLbl>
              <c:idx val="0"/>
              <c:layout>
                <c:manualLayout>
                  <c:x val="4.9927604972789452E-3"/>
                  <c:y val="-2.631331641762992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9927604972789452E-3"/>
                  <c:y val="-2.255427121511142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9942083978231563E-3"/>
                  <c:y val="-1.8795226012592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9956562983672209E-3"/>
                  <c:y val="-1.6915703411333659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9942083978230097E-3"/>
                  <c:y val="-1.8795226012592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9927604972789452E-3"/>
                  <c:y val="-5.63856780377784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9971041989115782E-3"/>
                  <c:y val="-1.503618081007437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9927604972789452E-3"/>
                  <c:y val="-1.691570341133365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9956562983672209E-3"/>
                  <c:y val="-2.443379381637077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5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Syndicate Bank</c:v>
                </c:pt>
                <c:pt idx="1">
                  <c:v>Corporation Bank</c:v>
                </c:pt>
                <c:pt idx="2">
                  <c:v>Indian Overseas Bank</c:v>
                </c:pt>
                <c:pt idx="3">
                  <c:v>State Bank of Bikaner &amp; Jaipur</c:v>
                </c:pt>
                <c:pt idx="4">
                  <c:v>Bank of Maharashtra</c:v>
                </c:pt>
                <c:pt idx="5">
                  <c:v>IDBI Bank Ltd.</c:v>
                </c:pt>
                <c:pt idx="6">
                  <c:v>Punjab and Sind Bank</c:v>
                </c:pt>
                <c:pt idx="7">
                  <c:v>State Bank of Mysore</c:v>
                </c:pt>
                <c:pt idx="8">
                  <c:v>State Bank of Travancore</c:v>
                </c:pt>
              </c:strCache>
            </c:strRef>
          </c:cat>
          <c:val>
            <c:numRef>
              <c:f>Sheet1!$B$2:$B$10</c:f>
              <c:numCache>
                <c:formatCode>General</c:formatCode>
                <c:ptCount val="9"/>
                <c:pt idx="0">
                  <c:v>6</c:v>
                </c:pt>
                <c:pt idx="1">
                  <c:v>3</c:v>
                </c:pt>
                <c:pt idx="2">
                  <c:v>2</c:v>
                </c:pt>
                <c:pt idx="3">
                  <c:v>2</c:v>
                </c:pt>
                <c:pt idx="4">
                  <c:v>1</c:v>
                </c:pt>
                <c:pt idx="5">
                  <c:v>1</c:v>
                </c:pt>
                <c:pt idx="6">
                  <c:v>1</c:v>
                </c:pt>
                <c:pt idx="7">
                  <c:v>1</c:v>
                </c:pt>
                <c:pt idx="8">
                  <c:v>1</c:v>
                </c:pt>
              </c:numCache>
            </c:numRef>
          </c:val>
        </c:ser>
        <c:dLbls>
          <c:showLegendKey val="0"/>
          <c:showVal val="0"/>
          <c:showCatName val="0"/>
          <c:showSerName val="0"/>
          <c:showPercent val="0"/>
          <c:showBubbleSize val="0"/>
        </c:dLbls>
        <c:gapWidth val="150"/>
        <c:shape val="box"/>
        <c:axId val="286825624"/>
        <c:axId val="286830720"/>
        <c:axId val="0"/>
      </c:bar3DChart>
      <c:catAx>
        <c:axId val="286825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86830720"/>
        <c:crosses val="autoZero"/>
        <c:auto val="1"/>
        <c:lblAlgn val="ctr"/>
        <c:lblOffset val="100"/>
        <c:noMultiLvlLbl val="0"/>
      </c:catAx>
      <c:valAx>
        <c:axId val="28683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25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2400" b="1"/>
              <a:t>(1.26) Number of times Section 8(1)(f) was invoked to reject RTI applications (2016-17)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2016-17</c:v>
                </c:pt>
              </c:strCache>
            </c:strRef>
          </c:tx>
          <c:spPr>
            <a:solidFill>
              <a:srgbClr val="FFFF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Vijaya Bank </c:v>
                </c:pt>
                <c:pt idx="1">
                  <c:v>State Bank of Hyderabad</c:v>
                </c:pt>
                <c:pt idx="2">
                  <c:v>State Bank of Patiala</c:v>
                </c:pt>
                <c:pt idx="3">
                  <c:v>Allahabad Bank</c:v>
                </c:pt>
                <c:pt idx="4">
                  <c:v>State Bank of Bikaner &amp; Jaipur</c:v>
                </c:pt>
                <c:pt idx="5">
                  <c:v>State Bank of India</c:v>
                </c:pt>
                <c:pt idx="6">
                  <c:v>Bank of India</c:v>
                </c:pt>
                <c:pt idx="7">
                  <c:v>Syndicate Bank</c:v>
                </c:pt>
                <c:pt idx="8">
                  <c:v>State Bank of Travancore</c:v>
                </c:pt>
                <c:pt idx="9">
                  <c:v>Reserve Bank of India</c:v>
                </c:pt>
                <c:pt idx="10">
                  <c:v>Other 16 Banks</c:v>
                </c:pt>
              </c:strCache>
            </c:strRef>
          </c:cat>
          <c:val>
            <c:numRef>
              <c:f>Sheet1!$B$2:$B$12</c:f>
              <c:numCache>
                <c:formatCode>General</c:formatCode>
                <c:ptCount val="11"/>
                <c:pt idx="0">
                  <c:v>47</c:v>
                </c:pt>
                <c:pt idx="1">
                  <c:v>30</c:v>
                </c:pt>
                <c:pt idx="2">
                  <c:v>27</c:v>
                </c:pt>
                <c:pt idx="3">
                  <c:v>20</c:v>
                </c:pt>
                <c:pt idx="4">
                  <c:v>14</c:v>
                </c:pt>
                <c:pt idx="5">
                  <c:v>13</c:v>
                </c:pt>
                <c:pt idx="6">
                  <c:v>7</c:v>
                </c:pt>
                <c:pt idx="7">
                  <c:v>5</c:v>
                </c:pt>
                <c:pt idx="8">
                  <c:v>1</c:v>
                </c:pt>
                <c:pt idx="9">
                  <c:v>0</c:v>
                </c:pt>
                <c:pt idx="10">
                  <c:v>0</c:v>
                </c:pt>
              </c:numCache>
            </c:numRef>
          </c:val>
        </c:ser>
        <c:dLbls>
          <c:showLegendKey val="0"/>
          <c:showVal val="0"/>
          <c:showCatName val="0"/>
          <c:showSerName val="0"/>
          <c:showPercent val="0"/>
          <c:showBubbleSize val="0"/>
        </c:dLbls>
        <c:gapWidth val="150"/>
        <c:shape val="box"/>
        <c:axId val="286827192"/>
        <c:axId val="286831112"/>
        <c:axId val="0"/>
      </c:bar3DChart>
      <c:catAx>
        <c:axId val="286827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86831112"/>
        <c:crosses val="autoZero"/>
        <c:auto val="1"/>
        <c:lblAlgn val="ctr"/>
        <c:lblOffset val="100"/>
        <c:noMultiLvlLbl val="0"/>
      </c:catAx>
      <c:valAx>
        <c:axId val="286831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27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1" i="0" u="none" strike="noStrike" kern="1200" spc="0" baseline="0">
                <a:solidFill>
                  <a:schemeClr val="tx1">
                    <a:lumMod val="65000"/>
                    <a:lumOff val="35000"/>
                  </a:schemeClr>
                </a:solidFill>
                <a:latin typeface="+mn-lt"/>
                <a:ea typeface="+mn-ea"/>
                <a:cs typeface="+mn-cs"/>
              </a:defRPr>
            </a:pPr>
            <a:r>
              <a:rPr lang="en-US" sz="2400" b="1"/>
              <a:t>(1.27) Number of times 26 Banks invoked</a:t>
            </a:r>
            <a:r>
              <a:rPr lang="en-US" sz="2400" b="1" baseline="0"/>
              <a:t> </a:t>
            </a:r>
            <a:r>
              <a:rPr lang="en-US" sz="2400" b="1"/>
              <a:t>Section 8(1)(e) to reject RTI applications (2016-17)</a:t>
            </a:r>
          </a:p>
        </c:rich>
      </c:tx>
      <c:overlay val="0"/>
      <c:spPr>
        <a:noFill/>
        <a:ln>
          <a:noFill/>
        </a:ln>
        <a:effectLst/>
      </c:spPr>
      <c:txPr>
        <a:bodyPr rot="0" spcFirstLastPara="1" vertOverflow="ellipsis" vert="horz" wrap="square" anchor="ctr" anchorCtr="1"/>
        <a:lstStyle/>
        <a:p>
          <a:pPr>
            <a:defRPr sz="24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solidFill>
              <a:srgbClr val="FF0000"/>
            </a:solidFill>
            <a:ln>
              <a:noFill/>
            </a:ln>
            <a:effectLst/>
            <a:sp3d/>
          </c:spPr>
          <c:invertIfNegative val="0"/>
          <c:dLbls>
            <c:dLbl>
              <c:idx val="26"/>
              <c:tx>
                <c:rich>
                  <a:bodyPr/>
                  <a:lstStyle/>
                  <a:p>
                    <a:r>
                      <a:rPr lang="en-US"/>
                      <a:t>NR</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Sheet1!$A$2:$A$28</c:f>
              <c:strCache>
                <c:ptCount val="27"/>
                <c:pt idx="0">
                  <c:v>State Bank of India</c:v>
                </c:pt>
                <c:pt idx="1">
                  <c:v>Syndicate Bank</c:v>
                </c:pt>
                <c:pt idx="2">
                  <c:v>Canara Bank</c:v>
                </c:pt>
                <c:pt idx="3">
                  <c:v>State Bank of Bikaner &amp; Jaipur</c:v>
                </c:pt>
                <c:pt idx="4">
                  <c:v>Allahabad Bank</c:v>
                </c:pt>
                <c:pt idx="5">
                  <c:v>Bank of Baroda</c:v>
                </c:pt>
                <c:pt idx="6">
                  <c:v>Punjab National Bank</c:v>
                </c:pt>
                <c:pt idx="7">
                  <c:v>Indian Overseas Bank</c:v>
                </c:pt>
                <c:pt idx="8">
                  <c:v>Indian Bank</c:v>
                </c:pt>
                <c:pt idx="9">
                  <c:v>IDBI Bank Ltd.</c:v>
                </c:pt>
                <c:pt idx="10">
                  <c:v>Oriental Bank of Commerce</c:v>
                </c:pt>
                <c:pt idx="11">
                  <c:v>Vijaya Bank</c:v>
                </c:pt>
                <c:pt idx="12">
                  <c:v>Andhra Bank</c:v>
                </c:pt>
                <c:pt idx="13">
                  <c:v>Bank of India</c:v>
                </c:pt>
                <c:pt idx="14">
                  <c:v>Bank of Maharashtra</c:v>
                </c:pt>
                <c:pt idx="15">
                  <c:v>State Bank of Patiala</c:v>
                </c:pt>
                <c:pt idx="16">
                  <c:v>Punjab and Sind Bank</c:v>
                </c:pt>
                <c:pt idx="17">
                  <c:v>UCO Bank</c:v>
                </c:pt>
                <c:pt idx="18">
                  <c:v>Corporation Bank</c:v>
                </c:pt>
                <c:pt idx="19">
                  <c:v>Union Bank of India</c:v>
                </c:pt>
                <c:pt idx="20">
                  <c:v>United Bank of India</c:v>
                </c:pt>
                <c:pt idx="21">
                  <c:v>State Bank of Travancore</c:v>
                </c:pt>
                <c:pt idx="22">
                  <c:v>State Bank of Hyderabad</c:v>
                </c:pt>
                <c:pt idx="23">
                  <c:v>State Bank of Mysore</c:v>
                </c:pt>
                <c:pt idx="24">
                  <c:v>Dena Bank</c:v>
                </c:pt>
                <c:pt idx="25">
                  <c:v>Reserve Bank of India</c:v>
                </c:pt>
                <c:pt idx="26">
                  <c:v>Central Bank of India</c:v>
                </c:pt>
              </c:strCache>
            </c:strRef>
          </c:cat>
          <c:val>
            <c:numRef>
              <c:f>Sheet1!$B$2:$B$28</c:f>
              <c:numCache>
                <c:formatCode>General</c:formatCode>
                <c:ptCount val="27"/>
                <c:pt idx="0">
                  <c:v>902</c:v>
                </c:pt>
                <c:pt idx="1">
                  <c:v>396</c:v>
                </c:pt>
                <c:pt idx="2">
                  <c:v>386</c:v>
                </c:pt>
                <c:pt idx="3">
                  <c:v>334</c:v>
                </c:pt>
                <c:pt idx="4">
                  <c:v>321</c:v>
                </c:pt>
                <c:pt idx="5">
                  <c:v>289</c:v>
                </c:pt>
                <c:pt idx="6">
                  <c:v>277</c:v>
                </c:pt>
                <c:pt idx="7">
                  <c:v>252</c:v>
                </c:pt>
                <c:pt idx="8">
                  <c:v>247</c:v>
                </c:pt>
                <c:pt idx="9">
                  <c:v>236</c:v>
                </c:pt>
                <c:pt idx="10">
                  <c:v>211</c:v>
                </c:pt>
                <c:pt idx="11">
                  <c:v>164</c:v>
                </c:pt>
                <c:pt idx="12">
                  <c:v>159</c:v>
                </c:pt>
                <c:pt idx="13">
                  <c:v>137</c:v>
                </c:pt>
                <c:pt idx="14">
                  <c:v>127</c:v>
                </c:pt>
                <c:pt idx="15">
                  <c:v>104</c:v>
                </c:pt>
                <c:pt idx="16">
                  <c:v>83</c:v>
                </c:pt>
                <c:pt idx="17">
                  <c:v>80</c:v>
                </c:pt>
                <c:pt idx="18">
                  <c:v>62</c:v>
                </c:pt>
                <c:pt idx="19">
                  <c:v>49</c:v>
                </c:pt>
                <c:pt idx="20">
                  <c:v>42</c:v>
                </c:pt>
                <c:pt idx="21">
                  <c:v>32</c:v>
                </c:pt>
                <c:pt idx="22">
                  <c:v>30</c:v>
                </c:pt>
                <c:pt idx="23">
                  <c:v>13</c:v>
                </c:pt>
                <c:pt idx="24">
                  <c:v>12</c:v>
                </c:pt>
                <c:pt idx="25">
                  <c:v>6</c:v>
                </c:pt>
                <c:pt idx="26">
                  <c:v>0</c:v>
                </c:pt>
              </c:numCache>
            </c:numRef>
          </c:val>
        </c:ser>
        <c:dLbls>
          <c:showLegendKey val="0"/>
          <c:showVal val="0"/>
          <c:showCatName val="0"/>
          <c:showSerName val="0"/>
          <c:showPercent val="0"/>
          <c:showBubbleSize val="0"/>
        </c:dLbls>
        <c:gapWidth val="150"/>
        <c:shape val="box"/>
        <c:axId val="286828760"/>
        <c:axId val="286829152"/>
        <c:axId val="0"/>
      </c:bar3DChart>
      <c:catAx>
        <c:axId val="286828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286829152"/>
        <c:crosses val="autoZero"/>
        <c:auto val="1"/>
        <c:lblAlgn val="ctr"/>
        <c:lblOffset val="100"/>
        <c:noMultiLvlLbl val="0"/>
      </c:catAx>
      <c:valAx>
        <c:axId val="28682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28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r>
              <a:rPr lang="en-US" sz="2400" b="1" i="0" baseline="0">
                <a:effectLst/>
              </a:rPr>
              <a:t>(1.28) Number of times </a:t>
            </a:r>
            <a:r>
              <a:rPr lang="en-US" sz="2400" b="1" i="0" u="none" strike="noStrike" baseline="0">
                <a:effectLst/>
              </a:rPr>
              <a:t>26 Banks invoked </a:t>
            </a:r>
            <a:r>
              <a:rPr lang="en-US" sz="2400" b="1" i="0" baseline="0">
                <a:effectLst/>
              </a:rPr>
              <a:t>Section 8(1)(d) to reject RTI applications (2016-17)</a:t>
            </a:r>
            <a:endParaRPr lang="en-IN" sz="2400">
              <a:effectLst/>
            </a:endParaRPr>
          </a:p>
        </c:rich>
      </c:tx>
      <c:overlay val="0"/>
      <c:spPr>
        <a:noFill/>
        <a:ln>
          <a:noFill/>
        </a:ln>
        <a:effectLst/>
      </c:spPr>
      <c:txPr>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solidFill>
              <a:srgbClr val="00B0F0"/>
            </a:solidFill>
            <a:ln>
              <a:noFill/>
            </a:ln>
            <a:effectLst/>
            <a:sp3d/>
          </c:spPr>
          <c:invertIfNegative val="0"/>
          <c:dLbls>
            <c:dLbl>
              <c:idx val="26"/>
              <c:tx>
                <c:rich>
                  <a:bodyPr/>
                  <a:lstStyle/>
                  <a:p>
                    <a:r>
                      <a:rPr lang="en-US"/>
                      <a:t>NR</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Sheet1!$A$2:$A$28</c:f>
              <c:strCache>
                <c:ptCount val="27"/>
                <c:pt idx="0">
                  <c:v>State Bank of India</c:v>
                </c:pt>
                <c:pt idx="1">
                  <c:v>Punjab National Bank</c:v>
                </c:pt>
                <c:pt idx="2">
                  <c:v>Syndicate Bank</c:v>
                </c:pt>
                <c:pt idx="3">
                  <c:v>Bank of India</c:v>
                </c:pt>
                <c:pt idx="4">
                  <c:v>Bank of Baroda</c:v>
                </c:pt>
                <c:pt idx="5">
                  <c:v>IDBI Bank Ltd.</c:v>
                </c:pt>
                <c:pt idx="6">
                  <c:v>Oriental Bank of Commerce</c:v>
                </c:pt>
                <c:pt idx="7">
                  <c:v>Allahabad Bank</c:v>
                </c:pt>
                <c:pt idx="8">
                  <c:v>Union Bank of India</c:v>
                </c:pt>
                <c:pt idx="9">
                  <c:v>Bank of Maharashtra</c:v>
                </c:pt>
                <c:pt idx="10">
                  <c:v>Andhra Bank</c:v>
                </c:pt>
                <c:pt idx="11">
                  <c:v>UCO Bank</c:v>
                </c:pt>
                <c:pt idx="12">
                  <c:v>Indian Overseas Bank</c:v>
                </c:pt>
                <c:pt idx="13">
                  <c:v>Dena Bank</c:v>
                </c:pt>
                <c:pt idx="14">
                  <c:v>Punjab and Sind Bank</c:v>
                </c:pt>
                <c:pt idx="15">
                  <c:v>State Bank of Patiala</c:v>
                </c:pt>
                <c:pt idx="16">
                  <c:v>State Bank of Hyderabad</c:v>
                </c:pt>
                <c:pt idx="17">
                  <c:v>State Bank of Travancore</c:v>
                </c:pt>
                <c:pt idx="18">
                  <c:v>Corporation Bank</c:v>
                </c:pt>
                <c:pt idx="19">
                  <c:v>United Bank of India</c:v>
                </c:pt>
                <c:pt idx="20">
                  <c:v>State Bank of Mysore</c:v>
                </c:pt>
                <c:pt idx="21">
                  <c:v>Vijaya Bank</c:v>
                </c:pt>
                <c:pt idx="22">
                  <c:v>State Bank of Bikaner &amp; Jaipur</c:v>
                </c:pt>
                <c:pt idx="23">
                  <c:v>Indian Bank</c:v>
                </c:pt>
                <c:pt idx="24">
                  <c:v>Reserve Bank of India</c:v>
                </c:pt>
                <c:pt idx="25">
                  <c:v>Canara Bank</c:v>
                </c:pt>
                <c:pt idx="26">
                  <c:v>Central Bank of India</c:v>
                </c:pt>
              </c:strCache>
            </c:strRef>
          </c:cat>
          <c:val>
            <c:numRef>
              <c:f>Sheet1!$B$2:$B$28</c:f>
              <c:numCache>
                <c:formatCode>General</c:formatCode>
                <c:ptCount val="27"/>
                <c:pt idx="0">
                  <c:v>708</c:v>
                </c:pt>
                <c:pt idx="1">
                  <c:v>592</c:v>
                </c:pt>
                <c:pt idx="2">
                  <c:v>568</c:v>
                </c:pt>
                <c:pt idx="3">
                  <c:v>357</c:v>
                </c:pt>
                <c:pt idx="4">
                  <c:v>336</c:v>
                </c:pt>
                <c:pt idx="5">
                  <c:v>277</c:v>
                </c:pt>
                <c:pt idx="6">
                  <c:v>249</c:v>
                </c:pt>
                <c:pt idx="7">
                  <c:v>181</c:v>
                </c:pt>
                <c:pt idx="8">
                  <c:v>160</c:v>
                </c:pt>
                <c:pt idx="9">
                  <c:v>138</c:v>
                </c:pt>
                <c:pt idx="10">
                  <c:v>101</c:v>
                </c:pt>
                <c:pt idx="11">
                  <c:v>98</c:v>
                </c:pt>
                <c:pt idx="12">
                  <c:v>67</c:v>
                </c:pt>
                <c:pt idx="13">
                  <c:v>58</c:v>
                </c:pt>
                <c:pt idx="14">
                  <c:v>58</c:v>
                </c:pt>
                <c:pt idx="15">
                  <c:v>56</c:v>
                </c:pt>
                <c:pt idx="16">
                  <c:v>52</c:v>
                </c:pt>
                <c:pt idx="17">
                  <c:v>46</c:v>
                </c:pt>
                <c:pt idx="18">
                  <c:v>45</c:v>
                </c:pt>
                <c:pt idx="19">
                  <c:v>44</c:v>
                </c:pt>
                <c:pt idx="20">
                  <c:v>34</c:v>
                </c:pt>
                <c:pt idx="21">
                  <c:v>24</c:v>
                </c:pt>
                <c:pt idx="22">
                  <c:v>18</c:v>
                </c:pt>
                <c:pt idx="23">
                  <c:v>15</c:v>
                </c:pt>
                <c:pt idx="24">
                  <c:v>4</c:v>
                </c:pt>
                <c:pt idx="25">
                  <c:v>0</c:v>
                </c:pt>
                <c:pt idx="26">
                  <c:v>0</c:v>
                </c:pt>
              </c:numCache>
            </c:numRef>
          </c:val>
        </c:ser>
        <c:dLbls>
          <c:showLegendKey val="0"/>
          <c:showVal val="0"/>
          <c:showCatName val="0"/>
          <c:showSerName val="0"/>
          <c:showPercent val="0"/>
          <c:showBubbleSize val="0"/>
        </c:dLbls>
        <c:gapWidth val="150"/>
        <c:shape val="box"/>
        <c:axId val="286831896"/>
        <c:axId val="286827976"/>
        <c:axId val="0"/>
      </c:bar3DChart>
      <c:catAx>
        <c:axId val="286831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286827976"/>
        <c:crosses val="autoZero"/>
        <c:auto val="1"/>
        <c:lblAlgn val="ctr"/>
        <c:lblOffset val="100"/>
        <c:noMultiLvlLbl val="0"/>
      </c:catAx>
      <c:valAx>
        <c:axId val="286827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31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2100" b="1"/>
              <a:t>(1.29) 8 Banks invoked Section 8(1)(d) more often than Section 8(1)(j) to reject RTI applications in</a:t>
            </a:r>
            <a:r>
              <a:rPr lang="en-IN" sz="2100" b="1" baseline="0"/>
              <a:t> 2016-17</a:t>
            </a:r>
            <a:endParaRPr lang="en-IN" sz="21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Section 8(1)(d)</c:v>
                </c:pt>
              </c:strCache>
            </c:strRef>
          </c:tx>
          <c:spPr>
            <a:solidFill>
              <a:srgbClr val="00B0F0"/>
            </a:solidFill>
            <a:ln>
              <a:noFill/>
            </a:ln>
            <a:effectLst/>
            <a:sp3d/>
          </c:spPr>
          <c:invertIfNegative val="0"/>
          <c:dLbls>
            <c:dLbl>
              <c:idx val="0"/>
              <c:layout>
                <c:manualLayout>
                  <c:x val="0"/>
                  <c:y val="-2.828354251369987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85763368866179E-2"/>
                  <c:y val="-2.828354251369984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7619592987401344E-3"/>
                  <c:y val="-1.414177125684992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2333715091181328E-2"/>
                  <c:y val="-3.535442814212479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809796493700995E-3"/>
                  <c:y val="-2.121265688527500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761959298740199E-3"/>
                  <c:y val="-3.888987095633734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8.809796493700995E-3"/>
                  <c:y val="-2.828354251369990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Syndicate Bank</c:v>
                </c:pt>
                <c:pt idx="1">
                  <c:v>Bank of India</c:v>
                </c:pt>
                <c:pt idx="2">
                  <c:v>IDBI Bank Ltd.</c:v>
                </c:pt>
                <c:pt idx="3">
                  <c:v>Oriental Bank of Commerce</c:v>
                </c:pt>
                <c:pt idx="4">
                  <c:v>Union Bank of India</c:v>
                </c:pt>
                <c:pt idx="5">
                  <c:v>Indian Overseas Bank</c:v>
                </c:pt>
                <c:pt idx="6">
                  <c:v>State Bank of Travancore</c:v>
                </c:pt>
                <c:pt idx="7">
                  <c:v>United Bank of India</c:v>
                </c:pt>
              </c:strCache>
            </c:strRef>
          </c:cat>
          <c:val>
            <c:numRef>
              <c:f>Sheet1!$B$2:$B$9</c:f>
              <c:numCache>
                <c:formatCode>General</c:formatCode>
                <c:ptCount val="8"/>
                <c:pt idx="0">
                  <c:v>568</c:v>
                </c:pt>
                <c:pt idx="1">
                  <c:v>357</c:v>
                </c:pt>
                <c:pt idx="2">
                  <c:v>277</c:v>
                </c:pt>
                <c:pt idx="3">
                  <c:v>249</c:v>
                </c:pt>
                <c:pt idx="4">
                  <c:v>160</c:v>
                </c:pt>
                <c:pt idx="5">
                  <c:v>67</c:v>
                </c:pt>
                <c:pt idx="6">
                  <c:v>46</c:v>
                </c:pt>
                <c:pt idx="7">
                  <c:v>44</c:v>
                </c:pt>
              </c:numCache>
            </c:numRef>
          </c:val>
        </c:ser>
        <c:ser>
          <c:idx val="1"/>
          <c:order val="1"/>
          <c:tx>
            <c:strRef>
              <c:f>Sheet1!$C$1</c:f>
              <c:strCache>
                <c:ptCount val="1"/>
                <c:pt idx="0">
                  <c:v>Section 8(1)(j)</c:v>
                </c:pt>
              </c:strCache>
            </c:strRef>
          </c:tx>
          <c:spPr>
            <a:solidFill>
              <a:schemeClr val="accent6">
                <a:lumMod val="75000"/>
              </a:schemeClr>
            </a:solidFill>
            <a:ln>
              <a:noFill/>
            </a:ln>
            <a:effectLst/>
            <a:sp3d/>
          </c:spPr>
          <c:invertIfNegative val="0"/>
          <c:dLbls>
            <c:dLbl>
              <c:idx val="0"/>
              <c:layout>
                <c:manualLayout>
                  <c:x val="2.4667430182362789E-2"/>
                  <c:y val="-7.070885628424960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4667430182362789E-2"/>
                  <c:y val="-2.828354251369984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143511584882389E-2"/>
                  <c:y val="-2.828354251369984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2905470883622523E-2"/>
                  <c:y val="-1.414177125684992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761959298740199E-2"/>
                  <c:y val="-4.949619939897471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4667430182362657E-2"/>
                  <c:y val="-1.767721407106239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2333715091181394E-2"/>
                  <c:y val="-2.828354251369977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7619592987401862E-2"/>
                  <c:y val="-1.767721407106246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Syndicate Bank</c:v>
                </c:pt>
                <c:pt idx="1">
                  <c:v>Bank of India</c:v>
                </c:pt>
                <c:pt idx="2">
                  <c:v>IDBI Bank Ltd.</c:v>
                </c:pt>
                <c:pt idx="3">
                  <c:v>Oriental Bank of Commerce</c:v>
                </c:pt>
                <c:pt idx="4">
                  <c:v>Union Bank of India</c:v>
                </c:pt>
                <c:pt idx="5">
                  <c:v>Indian Overseas Bank</c:v>
                </c:pt>
                <c:pt idx="6">
                  <c:v>State Bank of Travancore</c:v>
                </c:pt>
                <c:pt idx="7">
                  <c:v>United Bank of India</c:v>
                </c:pt>
              </c:strCache>
            </c:strRef>
          </c:cat>
          <c:val>
            <c:numRef>
              <c:f>Sheet1!$C$2:$C$9</c:f>
              <c:numCache>
                <c:formatCode>General</c:formatCode>
                <c:ptCount val="8"/>
                <c:pt idx="0">
                  <c:v>563</c:v>
                </c:pt>
                <c:pt idx="1">
                  <c:v>276</c:v>
                </c:pt>
                <c:pt idx="2">
                  <c:v>53</c:v>
                </c:pt>
                <c:pt idx="3">
                  <c:v>238</c:v>
                </c:pt>
                <c:pt idx="4">
                  <c:v>22</c:v>
                </c:pt>
                <c:pt idx="5">
                  <c:v>40</c:v>
                </c:pt>
                <c:pt idx="6">
                  <c:v>35</c:v>
                </c:pt>
                <c:pt idx="7">
                  <c:v>36</c:v>
                </c:pt>
              </c:numCache>
            </c:numRef>
          </c:val>
        </c:ser>
        <c:dLbls>
          <c:showLegendKey val="0"/>
          <c:showVal val="0"/>
          <c:showCatName val="0"/>
          <c:showSerName val="0"/>
          <c:showPercent val="0"/>
          <c:showBubbleSize val="0"/>
        </c:dLbls>
        <c:gapWidth val="150"/>
        <c:shape val="box"/>
        <c:axId val="286832288"/>
        <c:axId val="286828368"/>
        <c:axId val="0"/>
      </c:bar3DChart>
      <c:catAx>
        <c:axId val="286832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86828368"/>
        <c:crosses val="autoZero"/>
        <c:auto val="1"/>
        <c:lblAlgn val="ctr"/>
        <c:lblOffset val="100"/>
        <c:noMultiLvlLbl val="0"/>
      </c:catAx>
      <c:valAx>
        <c:axId val="286828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32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r>
              <a:rPr lang="en-IN" sz="2200" b="1"/>
              <a:t>(1.3) %age of RTI applications rejected by 25 Public Sector Banks (minus RBI) in 2016-17</a:t>
            </a:r>
          </a:p>
        </c:rich>
      </c:tx>
      <c:overlay val="0"/>
      <c:spPr>
        <a:noFill/>
        <a:ln>
          <a:noFill/>
        </a:ln>
        <a:effectLst/>
      </c:spPr>
      <c:txPr>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solidFill>
              <a:srgbClr val="FF0000"/>
            </a:solidFill>
            <a:ln>
              <a:noFill/>
            </a:ln>
            <a:effectLst/>
            <a:sp3d/>
          </c:spPr>
          <c:invertIfNegative val="0"/>
          <c:dLbls>
            <c:dLbl>
              <c:idx val="6"/>
              <c:tx>
                <c:rich>
                  <a:bodyPr/>
                  <a:lstStyle/>
                  <a:p>
                    <a:r>
                      <a:rPr lang="en-US"/>
                      <a:t>NR</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Sheet1!$A$2:$A$28</c:f>
              <c:strCache>
                <c:ptCount val="27"/>
                <c:pt idx="0">
                  <c:v>Allahabad Bank</c:v>
                </c:pt>
                <c:pt idx="1">
                  <c:v>Andhra Bank</c:v>
                </c:pt>
                <c:pt idx="2">
                  <c:v>Bank of Baroda</c:v>
                </c:pt>
                <c:pt idx="3">
                  <c:v>Bank of India</c:v>
                </c:pt>
                <c:pt idx="4">
                  <c:v>Bank of Maharashtra</c:v>
                </c:pt>
                <c:pt idx="5">
                  <c:v>Canara Bank</c:v>
                </c:pt>
                <c:pt idx="6">
                  <c:v>Central Bank of India</c:v>
                </c:pt>
                <c:pt idx="7">
                  <c:v>Corporation Bank</c:v>
                </c:pt>
                <c:pt idx="8">
                  <c:v>Dena Bank</c:v>
                </c:pt>
                <c:pt idx="9">
                  <c:v>IDBI Bank Ltd.</c:v>
                </c:pt>
                <c:pt idx="10">
                  <c:v>Indian Bank</c:v>
                </c:pt>
                <c:pt idx="11">
                  <c:v>Indian Overseas Bank</c:v>
                </c:pt>
                <c:pt idx="12">
                  <c:v>Oriental Bank of Commerce</c:v>
                </c:pt>
                <c:pt idx="13">
                  <c:v>Punjab and Sind Bank</c:v>
                </c:pt>
                <c:pt idx="14">
                  <c:v>Punjab National Bank</c:v>
                </c:pt>
                <c:pt idx="15">
                  <c:v>State Bank of Bikaner &amp; Jaipur</c:v>
                </c:pt>
                <c:pt idx="16">
                  <c:v>State Bank of Hyderabad</c:v>
                </c:pt>
                <c:pt idx="17">
                  <c:v>State Bank of India</c:v>
                </c:pt>
                <c:pt idx="18">
                  <c:v>State Bank of Mysore</c:v>
                </c:pt>
                <c:pt idx="19">
                  <c:v>State Bank of Patiala</c:v>
                </c:pt>
                <c:pt idx="20">
                  <c:v>State Bank of Travancore</c:v>
                </c:pt>
                <c:pt idx="21">
                  <c:v>Syndicate Bank</c:v>
                </c:pt>
                <c:pt idx="22">
                  <c:v>UCO Bank</c:v>
                </c:pt>
                <c:pt idx="23">
                  <c:v>Union Bank of India</c:v>
                </c:pt>
                <c:pt idx="24">
                  <c:v>United Bank of India</c:v>
                </c:pt>
                <c:pt idx="25">
                  <c:v>Vijaya Bank</c:v>
                </c:pt>
                <c:pt idx="26">
                  <c:v>Reserve Bank of India</c:v>
                </c:pt>
              </c:strCache>
            </c:strRef>
          </c:cat>
          <c:val>
            <c:numRef>
              <c:f>Sheet1!$B$2:$B$28</c:f>
              <c:numCache>
                <c:formatCode>General</c:formatCode>
                <c:ptCount val="27"/>
                <c:pt idx="0">
                  <c:v>36.6</c:v>
                </c:pt>
                <c:pt idx="1">
                  <c:v>45.9</c:v>
                </c:pt>
                <c:pt idx="2">
                  <c:v>34.6</c:v>
                </c:pt>
                <c:pt idx="3">
                  <c:v>23.5</c:v>
                </c:pt>
                <c:pt idx="4">
                  <c:v>34</c:v>
                </c:pt>
                <c:pt idx="5">
                  <c:v>40.5</c:v>
                </c:pt>
                <c:pt idx="6">
                  <c:v>0</c:v>
                </c:pt>
                <c:pt idx="7">
                  <c:v>47.3</c:v>
                </c:pt>
                <c:pt idx="8">
                  <c:v>41.7</c:v>
                </c:pt>
                <c:pt idx="9">
                  <c:v>31</c:v>
                </c:pt>
                <c:pt idx="10">
                  <c:v>11.7</c:v>
                </c:pt>
                <c:pt idx="11">
                  <c:v>35.299999999999997</c:v>
                </c:pt>
                <c:pt idx="12">
                  <c:v>50</c:v>
                </c:pt>
                <c:pt idx="13">
                  <c:v>30.2</c:v>
                </c:pt>
                <c:pt idx="14">
                  <c:v>29.4</c:v>
                </c:pt>
                <c:pt idx="15">
                  <c:v>31.6</c:v>
                </c:pt>
                <c:pt idx="16">
                  <c:v>71</c:v>
                </c:pt>
                <c:pt idx="17">
                  <c:v>17.2</c:v>
                </c:pt>
                <c:pt idx="18">
                  <c:v>34.1</c:v>
                </c:pt>
                <c:pt idx="19">
                  <c:v>13.5</c:v>
                </c:pt>
                <c:pt idx="20">
                  <c:v>30.3</c:v>
                </c:pt>
                <c:pt idx="21">
                  <c:v>24.6</c:v>
                </c:pt>
                <c:pt idx="22">
                  <c:v>26.8</c:v>
                </c:pt>
                <c:pt idx="23">
                  <c:v>23.3</c:v>
                </c:pt>
                <c:pt idx="24">
                  <c:v>13.5</c:v>
                </c:pt>
                <c:pt idx="25">
                  <c:v>38.200000000000003</c:v>
                </c:pt>
                <c:pt idx="26">
                  <c:v>2.5</c:v>
                </c:pt>
              </c:numCache>
            </c:numRef>
          </c:val>
        </c:ser>
        <c:dLbls>
          <c:showLegendKey val="0"/>
          <c:showVal val="0"/>
          <c:showCatName val="0"/>
          <c:showSerName val="0"/>
          <c:showPercent val="0"/>
          <c:showBubbleSize val="0"/>
        </c:dLbls>
        <c:gapWidth val="150"/>
        <c:shape val="box"/>
        <c:axId val="286811904"/>
        <c:axId val="286800144"/>
        <c:axId val="0"/>
      </c:bar3DChart>
      <c:catAx>
        <c:axId val="286811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86800144"/>
        <c:crosses val="autoZero"/>
        <c:auto val="1"/>
        <c:lblAlgn val="ctr"/>
        <c:lblOffset val="100"/>
        <c:noMultiLvlLbl val="0"/>
      </c:catAx>
      <c:valAx>
        <c:axId val="28680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1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i="0" baseline="0">
                <a:effectLst/>
              </a:rPr>
              <a:t>(1.30) 3 Banks invoked Section 8(1)(e) more often than Section 8(1)(j) to reject RTI applications  in 2016-17</a:t>
            </a:r>
            <a:endParaRPr lang="en-IN">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Section 8(1)e</c:v>
                </c:pt>
              </c:strCache>
            </c:strRef>
          </c:tx>
          <c:spPr>
            <a:solidFill>
              <a:srgbClr val="FF0000"/>
            </a:solidFill>
            <a:ln>
              <a:noFill/>
            </a:ln>
            <a:effectLst/>
            <a:sp3d/>
          </c:spPr>
          <c:invertIfNegative val="0"/>
          <c:dLbls>
            <c:dLbl>
              <c:idx val="0"/>
              <c:layout>
                <c:manualLayout>
                  <c:x val="4.861111111111107E-2"/>
                  <c:y val="-2.789157151573258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8611111111111112E-2"/>
                  <c:y val="-3.137801795519916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2407407407407489E-2"/>
                  <c:y val="-3.13780179551991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Indian bank</c:v>
                </c:pt>
                <c:pt idx="1">
                  <c:v>IDBI Bank Ltd.</c:v>
                </c:pt>
                <c:pt idx="2">
                  <c:v>Vijaya Bank</c:v>
                </c:pt>
              </c:strCache>
            </c:strRef>
          </c:cat>
          <c:val>
            <c:numRef>
              <c:f>Sheet1!$B$2:$B$4</c:f>
              <c:numCache>
                <c:formatCode>General</c:formatCode>
                <c:ptCount val="3"/>
                <c:pt idx="0">
                  <c:v>247</c:v>
                </c:pt>
                <c:pt idx="1">
                  <c:v>236</c:v>
                </c:pt>
                <c:pt idx="2">
                  <c:v>164</c:v>
                </c:pt>
              </c:numCache>
            </c:numRef>
          </c:val>
        </c:ser>
        <c:ser>
          <c:idx val="1"/>
          <c:order val="1"/>
          <c:tx>
            <c:strRef>
              <c:f>Sheet1!$C$1</c:f>
              <c:strCache>
                <c:ptCount val="1"/>
                <c:pt idx="0">
                  <c:v>Section 8(1)j</c:v>
                </c:pt>
              </c:strCache>
            </c:strRef>
          </c:tx>
          <c:spPr>
            <a:solidFill>
              <a:schemeClr val="accent6">
                <a:lumMod val="75000"/>
              </a:schemeClr>
            </a:solidFill>
            <a:ln>
              <a:noFill/>
            </a:ln>
            <a:effectLst/>
            <a:sp3d/>
          </c:spPr>
          <c:invertIfNegative val="0"/>
          <c:dLbls>
            <c:dLbl>
              <c:idx val="0"/>
              <c:layout>
                <c:manualLayout>
                  <c:x val="3.2407407407407406E-2"/>
                  <c:y val="-2.963479473546587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981481481481483E-2"/>
                  <c:y val="-2.963479473546587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3981481481481309E-2"/>
                  <c:y val="-2.96347947354658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Indian bank</c:v>
                </c:pt>
                <c:pt idx="1">
                  <c:v>IDBI Bank Ltd.</c:v>
                </c:pt>
                <c:pt idx="2">
                  <c:v>Vijaya Bank</c:v>
                </c:pt>
              </c:strCache>
            </c:strRef>
          </c:cat>
          <c:val>
            <c:numRef>
              <c:f>Sheet1!$C$2:$C$4</c:f>
              <c:numCache>
                <c:formatCode>General</c:formatCode>
                <c:ptCount val="3"/>
                <c:pt idx="0">
                  <c:v>41</c:v>
                </c:pt>
                <c:pt idx="1">
                  <c:v>53</c:v>
                </c:pt>
                <c:pt idx="2">
                  <c:v>42</c:v>
                </c:pt>
              </c:numCache>
            </c:numRef>
          </c:val>
        </c:ser>
        <c:dLbls>
          <c:showLegendKey val="0"/>
          <c:showVal val="0"/>
          <c:showCatName val="0"/>
          <c:showSerName val="0"/>
          <c:showPercent val="0"/>
          <c:showBubbleSize val="0"/>
        </c:dLbls>
        <c:gapWidth val="150"/>
        <c:shape val="box"/>
        <c:axId val="286826016"/>
        <c:axId val="278568000"/>
        <c:axId val="0"/>
      </c:bar3DChart>
      <c:catAx>
        <c:axId val="2868260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278568000"/>
        <c:crosses val="autoZero"/>
        <c:auto val="1"/>
        <c:lblAlgn val="ctr"/>
        <c:lblOffset val="100"/>
        <c:noMultiLvlLbl val="0"/>
      </c:catAx>
      <c:valAx>
        <c:axId val="278568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2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i="0" baseline="0">
                <a:effectLst/>
              </a:rPr>
              <a:t>(1.31) 11 Banks invoked Section 8(1)(e) more often than Section 8(1)(d) to reject RTI applications (2016-17)</a:t>
            </a:r>
            <a:endParaRPr lang="en-IN">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Section 8(1)e</c:v>
                </c:pt>
              </c:strCache>
            </c:strRef>
          </c:tx>
          <c:spPr>
            <a:solidFill>
              <a:srgbClr val="FF0000"/>
            </a:solidFill>
            <a:ln>
              <a:noFill/>
            </a:ln>
            <a:effectLst/>
            <a:sp3d/>
          </c:spPr>
          <c:invertIfNegative val="0"/>
          <c:dLbls>
            <c:dLbl>
              <c:idx val="8"/>
              <c:layout>
                <c:manualLayout>
                  <c:x val="1.6022431403965552E-2"/>
                  <c:y val="-3.0383592859855677E-3"/>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2016823552974164E-2"/>
                  <c:y val="-4.5575389289783516E-3"/>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8025235329461098E-2"/>
                  <c:y val="-7.595898214963919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State Bank of India</c:v>
                </c:pt>
                <c:pt idx="1">
                  <c:v>Canara Bank</c:v>
                </c:pt>
                <c:pt idx="2">
                  <c:v>State Bank of Bikaner &amp; Jaipur</c:v>
                </c:pt>
                <c:pt idx="3">
                  <c:v>Allahabad Bank</c:v>
                </c:pt>
                <c:pt idx="4">
                  <c:v>Indian Overseas Bank</c:v>
                </c:pt>
                <c:pt idx="5">
                  <c:v>Indian Bank</c:v>
                </c:pt>
                <c:pt idx="6">
                  <c:v>Vijaya Bank</c:v>
                </c:pt>
                <c:pt idx="7">
                  <c:v>Andhra Bank</c:v>
                </c:pt>
                <c:pt idx="8">
                  <c:v>State Bank of Patiala</c:v>
                </c:pt>
                <c:pt idx="9">
                  <c:v>Punjab and Sind Bank</c:v>
                </c:pt>
                <c:pt idx="10">
                  <c:v>Corporation Bank</c:v>
                </c:pt>
              </c:strCache>
            </c:strRef>
          </c:cat>
          <c:val>
            <c:numRef>
              <c:f>Sheet1!$B$2:$B$12</c:f>
              <c:numCache>
                <c:formatCode>General</c:formatCode>
                <c:ptCount val="11"/>
                <c:pt idx="0">
                  <c:v>902</c:v>
                </c:pt>
                <c:pt idx="1">
                  <c:v>386</c:v>
                </c:pt>
                <c:pt idx="2">
                  <c:v>334</c:v>
                </c:pt>
                <c:pt idx="3">
                  <c:v>321</c:v>
                </c:pt>
                <c:pt idx="4">
                  <c:v>252</c:v>
                </c:pt>
                <c:pt idx="5">
                  <c:v>247</c:v>
                </c:pt>
                <c:pt idx="6">
                  <c:v>164</c:v>
                </c:pt>
                <c:pt idx="7">
                  <c:v>159</c:v>
                </c:pt>
                <c:pt idx="8">
                  <c:v>104</c:v>
                </c:pt>
                <c:pt idx="9">
                  <c:v>83</c:v>
                </c:pt>
                <c:pt idx="10">
                  <c:v>62</c:v>
                </c:pt>
              </c:numCache>
            </c:numRef>
          </c:val>
        </c:ser>
        <c:ser>
          <c:idx val="1"/>
          <c:order val="1"/>
          <c:tx>
            <c:strRef>
              <c:f>Sheet1!$C$1</c:f>
              <c:strCache>
                <c:ptCount val="1"/>
                <c:pt idx="0">
                  <c:v>Section 8(1)d</c:v>
                </c:pt>
              </c:strCache>
            </c:strRef>
          </c:tx>
          <c:spPr>
            <a:solidFill>
              <a:srgbClr val="00B0F0"/>
            </a:solidFill>
            <a:ln>
              <a:noFill/>
            </a:ln>
            <a:effectLst/>
            <a:sp3d/>
          </c:spPr>
          <c:invertIfNegative val="0"/>
          <c:dLbls>
            <c:dLbl>
              <c:idx val="0"/>
              <c:layout>
                <c:manualLayout>
                  <c:x val="3.8053274584418151E-2"/>
                  <c:y val="-1.5191796429927839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4019627478469821E-2"/>
                  <c:y val="-1.519179642992783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022431403965514E-2"/>
                  <c:y val="-4.5575389289784635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028039254956938E-2"/>
                  <c:y val="-1.519179642992783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0028039254956866E-2"/>
                  <c:y val="-1.1140522019019394E-16"/>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028039254956866E-2"/>
                  <c:y val="0"/>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0028039254956866E-2"/>
                  <c:y val="-6.0767185719711354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0028039254956938E-2"/>
                  <c:y val="0"/>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6022431403965552E-2"/>
                  <c:y val="0"/>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2030843180452633E-2"/>
                  <c:y val="-1.5191796429927839E-3"/>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8039254956939715E-2"/>
                  <c:y val="-1.519179642992895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State Bank of India</c:v>
                </c:pt>
                <c:pt idx="1">
                  <c:v>Canara Bank</c:v>
                </c:pt>
                <c:pt idx="2">
                  <c:v>State Bank of Bikaner &amp; Jaipur</c:v>
                </c:pt>
                <c:pt idx="3">
                  <c:v>Allahabad Bank</c:v>
                </c:pt>
                <c:pt idx="4">
                  <c:v>Indian Overseas Bank</c:v>
                </c:pt>
                <c:pt idx="5">
                  <c:v>Indian Bank</c:v>
                </c:pt>
                <c:pt idx="6">
                  <c:v>Vijaya Bank</c:v>
                </c:pt>
                <c:pt idx="7">
                  <c:v>Andhra Bank</c:v>
                </c:pt>
                <c:pt idx="8">
                  <c:v>State Bank of Patiala</c:v>
                </c:pt>
                <c:pt idx="9">
                  <c:v>Punjab and Sind Bank</c:v>
                </c:pt>
                <c:pt idx="10">
                  <c:v>Corporation Bank</c:v>
                </c:pt>
              </c:strCache>
            </c:strRef>
          </c:cat>
          <c:val>
            <c:numRef>
              <c:f>Sheet1!$C$2:$C$12</c:f>
              <c:numCache>
                <c:formatCode>General</c:formatCode>
                <c:ptCount val="11"/>
                <c:pt idx="0">
                  <c:v>708</c:v>
                </c:pt>
                <c:pt idx="1">
                  <c:v>0</c:v>
                </c:pt>
                <c:pt idx="2">
                  <c:v>18</c:v>
                </c:pt>
                <c:pt idx="3">
                  <c:v>181</c:v>
                </c:pt>
                <c:pt idx="4">
                  <c:v>67</c:v>
                </c:pt>
                <c:pt idx="5">
                  <c:v>15</c:v>
                </c:pt>
                <c:pt idx="6">
                  <c:v>24</c:v>
                </c:pt>
                <c:pt idx="7">
                  <c:v>101</c:v>
                </c:pt>
                <c:pt idx="8">
                  <c:v>56</c:v>
                </c:pt>
                <c:pt idx="9">
                  <c:v>58</c:v>
                </c:pt>
                <c:pt idx="10">
                  <c:v>45</c:v>
                </c:pt>
              </c:numCache>
            </c:numRef>
          </c:val>
        </c:ser>
        <c:dLbls>
          <c:showLegendKey val="0"/>
          <c:showVal val="0"/>
          <c:showCatName val="0"/>
          <c:showSerName val="0"/>
          <c:showPercent val="0"/>
          <c:showBubbleSize val="0"/>
        </c:dLbls>
        <c:gapWidth val="150"/>
        <c:shape val="box"/>
        <c:axId val="278542912"/>
        <c:axId val="278539384"/>
        <c:axId val="0"/>
      </c:bar3DChart>
      <c:catAx>
        <c:axId val="278542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78539384"/>
        <c:crosses val="autoZero"/>
        <c:auto val="1"/>
        <c:lblAlgn val="ctr"/>
        <c:lblOffset val="100"/>
        <c:noMultiLvlLbl val="0"/>
      </c:catAx>
      <c:valAx>
        <c:axId val="278539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542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1" i="0" u="none" strike="noStrike" kern="1200" spc="0" baseline="0">
                <a:solidFill>
                  <a:schemeClr val="tx1">
                    <a:lumMod val="65000"/>
                    <a:lumOff val="35000"/>
                  </a:schemeClr>
                </a:solidFill>
                <a:latin typeface="+mn-lt"/>
                <a:ea typeface="+mn-ea"/>
                <a:cs typeface="+mn-cs"/>
              </a:defRPr>
            </a:pPr>
            <a:r>
              <a:rPr lang="en-US" sz="2200" b="1"/>
              <a:t>(1.32) 3 Banks invoked Section 8(1)(c) to reject RTI applications (2016-17)</a:t>
            </a:r>
          </a:p>
        </c:rich>
      </c:tx>
      <c:overlay val="0"/>
      <c:spPr>
        <a:noFill/>
        <a:ln>
          <a:noFill/>
        </a:ln>
        <a:effectLst/>
      </c:spPr>
      <c:txPr>
        <a:bodyPr rot="0" spcFirstLastPara="1" vertOverflow="ellipsis" vert="horz" wrap="square" anchor="ctr" anchorCtr="1"/>
        <a:lstStyle/>
        <a:p>
          <a:pPr>
            <a:defRPr sz="22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Column1</c:v>
                </c:pt>
              </c:strCache>
            </c:strRef>
          </c:tx>
          <c:spPr>
            <a:solidFill>
              <a:schemeClr val="accent4">
                <a:lumMod val="75000"/>
              </a:schemeClr>
            </a:solidFill>
            <a:ln>
              <a:noFill/>
            </a:ln>
            <a:effectLst/>
            <a:sp3d/>
          </c:spPr>
          <c:invertIfNegative val="0"/>
          <c:dLbls>
            <c:dLbl>
              <c:idx val="0"/>
              <c:layout>
                <c:manualLayout>
                  <c:x val="3.265921716199658E-2"/>
                  <c:y val="-6.968143640025452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5069190977114431E-2"/>
                  <c:y val="-5.338282226122385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438499846489604E-2"/>
                  <c:y val="-4.79185215854532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Reserve Bank of India</c:v>
                </c:pt>
                <c:pt idx="1">
                  <c:v>UCO Bank</c:v>
                </c:pt>
                <c:pt idx="2">
                  <c:v>Bank of Maharashtra</c:v>
                </c:pt>
              </c:strCache>
            </c:strRef>
          </c:cat>
          <c:val>
            <c:numRef>
              <c:f>Sheet1!$B$2:$B$4</c:f>
              <c:numCache>
                <c:formatCode>General</c:formatCode>
                <c:ptCount val="3"/>
                <c:pt idx="0">
                  <c:v>11</c:v>
                </c:pt>
                <c:pt idx="1">
                  <c:v>4</c:v>
                </c:pt>
                <c:pt idx="2">
                  <c:v>1</c:v>
                </c:pt>
              </c:numCache>
            </c:numRef>
          </c:val>
        </c:ser>
        <c:dLbls>
          <c:showLegendKey val="0"/>
          <c:showVal val="0"/>
          <c:showCatName val="0"/>
          <c:showSerName val="0"/>
          <c:showPercent val="0"/>
          <c:showBubbleSize val="0"/>
        </c:dLbls>
        <c:gapWidth val="150"/>
        <c:shape val="box"/>
        <c:axId val="278546048"/>
        <c:axId val="278540952"/>
        <c:axId val="0"/>
      </c:bar3DChart>
      <c:catAx>
        <c:axId val="278546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278540952"/>
        <c:crosses val="autoZero"/>
        <c:auto val="1"/>
        <c:lblAlgn val="ctr"/>
        <c:lblOffset val="100"/>
        <c:noMultiLvlLbl val="0"/>
      </c:catAx>
      <c:valAx>
        <c:axId val="278540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546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2000" b="1"/>
              <a:t>(1.33) 5 Banks invoked Section 8(1)(b) to reject RTI applications (2016-17)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solidFill>
              <a:srgbClr val="92D050"/>
            </a:solidFill>
            <a:ln>
              <a:noFill/>
            </a:ln>
            <a:effectLst/>
            <a:sp3d/>
          </c:spPr>
          <c:invertIfNegative val="0"/>
          <c:dLbls>
            <c:dLbl>
              <c:idx val="0"/>
              <c:layout>
                <c:manualLayout>
                  <c:x val="2.7746247950561184E-2"/>
                  <c:y val="-4.0849201309155055E-1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179089418589986E-2"/>
                  <c:y val="-1.782531194295900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2701475595913734E-2"/>
                  <c:y val="-1.782531194295900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2791020305208633E-2"/>
                  <c:y val="-8.169840261831011E-17"/>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2791020305208633E-2"/>
                  <c:y val="-8.169840261831011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Allahabad Bank</c:v>
                </c:pt>
                <c:pt idx="1">
                  <c:v>Oriental Bank of Commerce</c:v>
                </c:pt>
                <c:pt idx="2">
                  <c:v>UCO Bank</c:v>
                </c:pt>
                <c:pt idx="3">
                  <c:v>State Bank of Hyderabad</c:v>
                </c:pt>
                <c:pt idx="4">
                  <c:v>State Bank of Travancore</c:v>
                </c:pt>
              </c:strCache>
            </c:strRef>
          </c:cat>
          <c:val>
            <c:numRef>
              <c:f>Sheet1!$B$2:$B$6</c:f>
              <c:numCache>
                <c:formatCode>General</c:formatCode>
                <c:ptCount val="5"/>
                <c:pt idx="0">
                  <c:v>5</c:v>
                </c:pt>
                <c:pt idx="1">
                  <c:v>1</c:v>
                </c:pt>
                <c:pt idx="2">
                  <c:v>3</c:v>
                </c:pt>
                <c:pt idx="3">
                  <c:v>1</c:v>
                </c:pt>
                <c:pt idx="4">
                  <c:v>1</c:v>
                </c:pt>
              </c:numCache>
            </c:numRef>
          </c:val>
        </c:ser>
        <c:dLbls>
          <c:showLegendKey val="0"/>
          <c:showVal val="0"/>
          <c:showCatName val="0"/>
          <c:showSerName val="0"/>
          <c:showPercent val="0"/>
          <c:showBubbleSize val="0"/>
        </c:dLbls>
        <c:gapWidth val="150"/>
        <c:shape val="box"/>
        <c:axId val="278545656"/>
        <c:axId val="278540168"/>
        <c:axId val="0"/>
      </c:bar3DChart>
      <c:catAx>
        <c:axId val="278545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78540168"/>
        <c:crosses val="autoZero"/>
        <c:auto val="1"/>
        <c:lblAlgn val="ctr"/>
        <c:lblOffset val="100"/>
        <c:noMultiLvlLbl val="0"/>
      </c:catAx>
      <c:valAx>
        <c:axId val="278540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545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(1.34) 7 Banks invoked Section 8(1)(a) to reject RTI applications (2016-17)</a:t>
            </a:r>
            <a:endParaRPr lang="en-IN">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solidFill>
              <a:srgbClr val="FF6699"/>
            </a:solidFill>
            <a:ln>
              <a:noFill/>
            </a:ln>
            <a:effectLst/>
            <a:sp3d/>
          </c:spPr>
          <c:invertIfNegative val="0"/>
          <c:dLbls>
            <c:dLbl>
              <c:idx val="0"/>
              <c:layout>
                <c:manualLayout>
                  <c:x val="1.9420926616147902E-2"/>
                  <c:y val="-3.712694559474513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518518518518517E-2"/>
                  <c:y val="-3.427102670284164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8518518518518517E-2"/>
                  <c:y val="-2.570327002713122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888933254539937E-2"/>
                  <c:y val="-2.570327002713122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8518518518518517E-2"/>
                  <c:y val="-1.713551335142082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3888888888888888E-2"/>
                  <c:y val="-1.713551335142092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6203703703703533E-2"/>
                  <c:y val="-2.284735113522786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Reserve Bank of India</c:v>
                </c:pt>
                <c:pt idx="1">
                  <c:v>Bank of India</c:v>
                </c:pt>
                <c:pt idx="2">
                  <c:v>Oriental Bank of Commerce </c:v>
                </c:pt>
                <c:pt idx="3">
                  <c:v>Bank of Baroda</c:v>
                </c:pt>
                <c:pt idx="4">
                  <c:v>State Bank of Patiala</c:v>
                </c:pt>
                <c:pt idx="5">
                  <c:v>Allahabad Bank</c:v>
                </c:pt>
                <c:pt idx="6">
                  <c:v>State Bank of India</c:v>
                </c:pt>
              </c:strCache>
            </c:strRef>
          </c:cat>
          <c:val>
            <c:numRef>
              <c:f>Sheet1!$B$2:$B$8</c:f>
              <c:numCache>
                <c:formatCode>General</c:formatCode>
                <c:ptCount val="7"/>
                <c:pt idx="0">
                  <c:v>99</c:v>
                </c:pt>
                <c:pt idx="1">
                  <c:v>3</c:v>
                </c:pt>
                <c:pt idx="2">
                  <c:v>3</c:v>
                </c:pt>
                <c:pt idx="3">
                  <c:v>2</c:v>
                </c:pt>
                <c:pt idx="4">
                  <c:v>2</c:v>
                </c:pt>
                <c:pt idx="5">
                  <c:v>1</c:v>
                </c:pt>
                <c:pt idx="6">
                  <c:v>1</c:v>
                </c:pt>
              </c:numCache>
            </c:numRef>
          </c:val>
        </c:ser>
        <c:dLbls>
          <c:showLegendKey val="0"/>
          <c:showVal val="0"/>
          <c:showCatName val="0"/>
          <c:showSerName val="0"/>
          <c:showPercent val="0"/>
          <c:showBubbleSize val="0"/>
        </c:dLbls>
        <c:gapWidth val="150"/>
        <c:shape val="box"/>
        <c:axId val="278546832"/>
        <c:axId val="278549968"/>
        <c:axId val="0"/>
      </c:bar3DChart>
      <c:catAx>
        <c:axId val="278546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78549968"/>
        <c:crosses val="autoZero"/>
        <c:auto val="1"/>
        <c:lblAlgn val="ctr"/>
        <c:lblOffset val="100"/>
        <c:noMultiLvlLbl val="0"/>
      </c:catAx>
      <c:valAx>
        <c:axId val="278549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546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2400" b="1"/>
              <a:t>(1.35) Change</a:t>
            </a:r>
            <a:r>
              <a:rPr lang="en-IN" sz="2400" b="1" baseline="0"/>
              <a:t> in the %age of RTI applications received versus %age change in the size of Net NPAs of 26 Banks in 2016-17 as compared to 2015-16</a:t>
            </a:r>
            <a:endParaRPr lang="en-IN" sz="24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Change in the No. of RTI applications received</c:v>
                </c:pt>
              </c:strCache>
            </c:strRef>
          </c:tx>
          <c:spPr>
            <a:solidFill>
              <a:srgbClr val="00B0F0"/>
            </a:solidFill>
            <a:ln>
              <a:noFill/>
            </a:ln>
            <a:effectLst/>
            <a:sp3d/>
          </c:spPr>
          <c:invertIfNegative val="0"/>
          <c:dLbls>
            <c:dLbl>
              <c:idx val="0"/>
              <c:layout>
                <c:manualLayout>
                  <c:x val="-9.8371944321479603E-3"/>
                  <c:y val="6.518904823989581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934877772859181E-3"/>
                  <c:y val="-1.140808344198174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934877772859181E-3"/>
                  <c:y val="5.052151238591916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934877772859181E-3"/>
                  <c:y val="0"/>
                </c:manualLayout>
              </c:layout>
              <c:showLegendKey val="0"/>
              <c:showVal val="1"/>
              <c:showCatName val="0"/>
              <c:showSerName val="0"/>
              <c:showPercent val="0"/>
              <c:showBubbleSize val="0"/>
              <c:extLst>
                <c:ext xmlns:c15="http://schemas.microsoft.com/office/drawing/2012/chart" uri="{CE6537A1-D6FC-4f65-9D91-7224C49458BB}">
                  <c15:layout>
                    <c:manualLayout>
                      <c:w val="2.5084845801977278E-2"/>
                      <c:h val="2.6776401564537158E-2"/>
                    </c:manualLayout>
                  </c15:layout>
                </c:ext>
              </c:extLst>
            </c:dLbl>
            <c:dLbl>
              <c:idx val="5"/>
              <c:layout>
                <c:manualLayout>
                  <c:x val="2.9511583296443853E-3"/>
                  <c:y val="-2.1186440677966222E-2"/>
                </c:manualLayout>
              </c:layout>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NR</a:t>
                    </a:r>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4.9185972160740114E-3"/>
                  <c:y val="-2.607561929595839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9185972160739758E-3"/>
                  <c:y val="1.6297262059973925E-3"/>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934877772859181E-3"/>
                  <c:y val="-4.8891786179921775E-3"/>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9674388864295905E-3"/>
                  <c:y val="-2.4445893089960886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2.9511583296444577E-3"/>
                  <c:y val="-4.8891786179921889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1.9674388864296625E-3"/>
                  <c:y val="0.10919165580182541"/>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1.9674388864295905E-3"/>
                  <c:y val="9.4524376597644982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1.9674388864295905E-3"/>
                  <c:y val="8.4745891036762513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9.8371944321486724E-4"/>
                  <c:y val="-1.1408083441981747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9.8371944321486724E-4"/>
                  <c:y val="8.6375617242759911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9.8371944321479525E-4"/>
                  <c:y val="4.56324620928251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3.8729111937590359E-8"/>
                  <c:y val="6.0300126271699742E-2"/>
                </c:manualLayout>
              </c:layout>
              <c:showLegendKey val="0"/>
              <c:showVal val="1"/>
              <c:showCatName val="0"/>
              <c:showSerName val="0"/>
              <c:showPercent val="0"/>
              <c:showBubbleSize val="0"/>
              <c:extLst>
                <c:ext xmlns:c15="http://schemas.microsoft.com/office/drawing/2012/chart" uri="{CE6537A1-D6FC-4f65-9D91-7224C49458BB}">
                  <c15:layout>
                    <c:manualLayout>
                      <c:w val="3.3884254950645551E-2"/>
                      <c:h val="2.6776401564537158E-2"/>
                    </c:manualLayout>
                  </c15:layout>
                </c:ext>
              </c:extLst>
            </c:dLbl>
            <c:dLbl>
              <c:idx val="19"/>
              <c:layout>
                <c:manualLayout>
                  <c:x val="-1.9674776155415279E-3"/>
                  <c:y val="5.1336439651366916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2.839998032561113E-2"/>
                      <c:h val="2.8406127770534546E-2"/>
                    </c:manualLayout>
                  </c15:layout>
                </c:ext>
              </c:extLst>
            </c:dLbl>
            <c:dLbl>
              <c:idx val="20"/>
              <c:layout>
                <c:manualLayout>
                  <c:x val="-9.8371944321479525E-4"/>
                  <c:y val="0.20208630619347287"/>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9.8371944321479525E-4"/>
                  <c:y val="-2.4445893089960886E-2"/>
                </c:manualLayout>
              </c:layout>
              <c:showLegendKey val="0"/>
              <c:showVal val="1"/>
              <c:showCatName val="0"/>
              <c:showSerName val="0"/>
              <c:showPercent val="0"/>
              <c:showBubbleSize val="0"/>
              <c:extLst>
                <c:ext xmlns:c15="http://schemas.microsoft.com/office/drawing/2012/chart" uri="{CE6537A1-D6FC-4f65-9D91-7224C49458BB}"/>
              </c:extLst>
            </c:dLbl>
            <c:dLbl>
              <c:idx val="23"/>
              <c:layout>
                <c:manualLayout>
                  <c:x val="-9.8371944321479525E-4"/>
                  <c:y val="0.15319426336375488"/>
                </c:manualLayout>
              </c:layout>
              <c:showLegendKey val="0"/>
              <c:showVal val="1"/>
              <c:showCatName val="0"/>
              <c:showSerName val="0"/>
              <c:showPercent val="0"/>
              <c:showBubbleSize val="0"/>
              <c:extLst>
                <c:ext xmlns:c15="http://schemas.microsoft.com/office/drawing/2012/chart" uri="{CE6537A1-D6FC-4f65-9D91-7224C49458BB}"/>
              </c:extLst>
            </c:dLbl>
            <c:dLbl>
              <c:idx val="25"/>
              <c:layout>
                <c:manualLayout>
                  <c:x val="9.8371944321479516E-3"/>
                  <c:y val="-3.9113428943937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Sheet1!$A$2:$A$27</c:f>
              <c:strCache>
                <c:ptCount val="26"/>
                <c:pt idx="0">
                  <c:v>Allahabad Bank</c:v>
                </c:pt>
                <c:pt idx="1">
                  <c:v>Andhra Bank</c:v>
                </c:pt>
                <c:pt idx="2">
                  <c:v>Bank of Baroda</c:v>
                </c:pt>
                <c:pt idx="3">
                  <c:v>Bank of India</c:v>
                </c:pt>
                <c:pt idx="4">
                  <c:v>Bank of Maharashtra</c:v>
                </c:pt>
                <c:pt idx="5">
                  <c:v>Canara Bank</c:v>
                </c:pt>
                <c:pt idx="6">
                  <c:v>Central Bank of India</c:v>
                </c:pt>
                <c:pt idx="7">
                  <c:v>Corporation Bank</c:v>
                </c:pt>
                <c:pt idx="8">
                  <c:v>Dena Bank</c:v>
                </c:pt>
                <c:pt idx="9">
                  <c:v>IDBI Bank Ltd.</c:v>
                </c:pt>
                <c:pt idx="10">
                  <c:v>Indian Bank</c:v>
                </c:pt>
                <c:pt idx="11">
                  <c:v>Indian Overseas Bank</c:v>
                </c:pt>
                <c:pt idx="12">
                  <c:v>Oriental Bank of Commerce</c:v>
                </c:pt>
                <c:pt idx="13">
                  <c:v>Punjab and Sind Bank</c:v>
                </c:pt>
                <c:pt idx="14">
                  <c:v>Punjab National Bank</c:v>
                </c:pt>
                <c:pt idx="15">
                  <c:v>State Bank of Bikaner &amp; Jaipur</c:v>
                </c:pt>
                <c:pt idx="16">
                  <c:v>State Bank of Hyderabad</c:v>
                </c:pt>
                <c:pt idx="17">
                  <c:v>State Bank of India</c:v>
                </c:pt>
                <c:pt idx="18">
                  <c:v>State Bank of Mysore</c:v>
                </c:pt>
                <c:pt idx="19">
                  <c:v>State Bank of Patiala</c:v>
                </c:pt>
                <c:pt idx="20">
                  <c:v>State Bank of Travancore</c:v>
                </c:pt>
                <c:pt idx="21">
                  <c:v>Syndicate Bank</c:v>
                </c:pt>
                <c:pt idx="22">
                  <c:v>UCO Bank</c:v>
                </c:pt>
                <c:pt idx="23">
                  <c:v>Union Bank of India</c:v>
                </c:pt>
                <c:pt idx="24">
                  <c:v>United Bank of India</c:v>
                </c:pt>
                <c:pt idx="25">
                  <c:v>Vijaya Bank</c:v>
                </c:pt>
              </c:strCache>
            </c:strRef>
          </c:cat>
          <c:val>
            <c:numRef>
              <c:f>Sheet1!$B$2:$B$27</c:f>
              <c:numCache>
                <c:formatCode>0.00</c:formatCode>
                <c:ptCount val="26"/>
                <c:pt idx="0">
                  <c:v>-10.349462365591398</c:v>
                </c:pt>
                <c:pt idx="1">
                  <c:v>3.6659877800407332</c:v>
                </c:pt>
                <c:pt idx="2">
                  <c:v>-5.2040212891780016</c:v>
                </c:pt>
                <c:pt idx="3">
                  <c:v>9.4267515923566876</c:v>
                </c:pt>
                <c:pt idx="4">
                  <c:v>3.9940828402366866</c:v>
                </c:pt>
                <c:pt idx="5">
                  <c:v>36.563262460787733</c:v>
                </c:pt>
                <c:pt idx="6">
                  <c:v>0</c:v>
                </c:pt>
                <c:pt idx="7">
                  <c:v>34.926052332195674</c:v>
                </c:pt>
                <c:pt idx="8">
                  <c:v>2.189054726368159</c:v>
                </c:pt>
                <c:pt idx="9">
                  <c:v>1.6260162601626016</c:v>
                </c:pt>
                <c:pt idx="10">
                  <c:v>7.6547231270358305</c:v>
                </c:pt>
                <c:pt idx="11">
                  <c:v>5.7080131723380898</c:v>
                </c:pt>
                <c:pt idx="12">
                  <c:v>-36.574531095755184</c:v>
                </c:pt>
                <c:pt idx="13">
                  <c:v>-11.759799833194329</c:v>
                </c:pt>
                <c:pt idx="14">
                  <c:v>-5.6961251680723626</c:v>
                </c:pt>
                <c:pt idx="15">
                  <c:v>3.1374786081003991</c:v>
                </c:pt>
                <c:pt idx="16">
                  <c:v>-52.109464082098064</c:v>
                </c:pt>
                <c:pt idx="17">
                  <c:v>-9.8638784770171628E-2</c:v>
                </c:pt>
                <c:pt idx="18">
                  <c:v>-13.157894736842104</c:v>
                </c:pt>
                <c:pt idx="19">
                  <c:v>-4.9429657794676807</c:v>
                </c:pt>
                <c:pt idx="20">
                  <c:v>-37.917222963951936</c:v>
                </c:pt>
                <c:pt idx="21">
                  <c:v>17.936117936117935</c:v>
                </c:pt>
                <c:pt idx="22">
                  <c:v>112.41655540720961</c:v>
                </c:pt>
                <c:pt idx="23">
                  <c:v>-58.248472505091648</c:v>
                </c:pt>
                <c:pt idx="24">
                  <c:v>608.88888888888891</c:v>
                </c:pt>
                <c:pt idx="25">
                  <c:v>22.055137844611529</c:v>
                </c:pt>
              </c:numCache>
            </c:numRef>
          </c:val>
        </c:ser>
        <c:ser>
          <c:idx val="1"/>
          <c:order val="1"/>
          <c:tx>
            <c:strRef>
              <c:f>Sheet1!$C$1</c:f>
              <c:strCache>
                <c:ptCount val="1"/>
                <c:pt idx="0">
                  <c:v>Change in Net NPA size</c:v>
                </c:pt>
              </c:strCache>
            </c:strRef>
          </c:tx>
          <c:spPr>
            <a:solidFill>
              <a:srgbClr val="FF0000"/>
            </a:solidFill>
            <a:ln>
              <a:noFill/>
            </a:ln>
            <a:effectLst/>
            <a:sp3d/>
          </c:spPr>
          <c:invertIfNegative val="0"/>
          <c:dLbls>
            <c:dLbl>
              <c:idx val="0"/>
              <c:layout>
                <c:manualLayout>
                  <c:x val="1.9674388864295905E-3"/>
                  <c:y val="-5.052151238591928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9348777728591628E-3"/>
                  <c:y val="6.844850065189048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8534749889331559E-3"/>
                  <c:y val="7.496753380077816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1804633318577541E-2"/>
                  <c:y val="-2.118644067796622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9185972160739394E-3"/>
                  <c:y val="-3.91134289439374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902316659288735E-3"/>
                  <c:y val="0"/>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6.8860361025035663E-3"/>
                  <c:y val="-1.466753585397659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5.9023553884006361E-3"/>
                  <c:y val="-1.303780964797914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3.0569042968787818E-2"/>
                      <c:h val="2.5146675358539764E-2"/>
                    </c:manualLayout>
                  </c15:layout>
                </c:ext>
              </c:extLst>
            </c:dLbl>
            <c:dLbl>
              <c:idx val="10"/>
              <c:layout>
                <c:manualLayout>
                  <c:x val="3.934877772859181E-3"/>
                  <c:y val="-3.2594524119949043E-3"/>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2.9511583296443853E-3"/>
                  <c:y val="-9.7783572359844747E-3"/>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4.9185972160739038E-3"/>
                  <c:y val="-5.867014341590613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7.869755545718362E-3"/>
                  <c:y val="-5.8670143415906248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3.9348777728591081E-3"/>
                  <c:y val="4.237313800572854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6.8860361025035663E-3"/>
                  <c:y val="-3.0964797913950577E-2"/>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1.9674388864295757E-2"/>
                  <c:y val="-1.6297262059973866E-2"/>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9.8371944321479516E-3"/>
                  <c:y val="-6.51890482398957E-3"/>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7.8697942748302985E-3"/>
                  <c:y val="4.0743090987485756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2.839998032561113E-2"/>
                      <c:h val="2.8406127770534546E-2"/>
                    </c:manualLayout>
                  </c15:layout>
                </c:ext>
              </c:extLst>
            </c:dLbl>
            <c:dLbl>
              <c:idx val="23"/>
              <c:layout>
                <c:manualLayout>
                  <c:x val="1.9674388864295905E-3"/>
                  <c:y val="-1.6297262059973925E-3"/>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1.1804633318577397E-2"/>
                  <c:y val="-1.955671447196871E-2"/>
                </c:manualLayout>
              </c:layout>
              <c:showLegendKey val="0"/>
              <c:showVal val="1"/>
              <c:showCatName val="0"/>
              <c:showSerName val="0"/>
              <c:showPercent val="0"/>
              <c:showBubbleSize val="0"/>
              <c:extLst>
                <c:ext xmlns:c15="http://schemas.microsoft.com/office/drawing/2012/chart" uri="{CE6537A1-D6FC-4f65-9D91-7224C49458BB}"/>
              </c:extLst>
            </c:dLbl>
            <c:dLbl>
              <c:idx val="25"/>
              <c:layout>
                <c:manualLayout>
                  <c:x val="2.0658108307510699E-2"/>
                  <c:y val="4.074315514993481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Sheet1!$A$2:$A$27</c:f>
              <c:strCache>
                <c:ptCount val="26"/>
                <c:pt idx="0">
                  <c:v>Allahabad Bank</c:v>
                </c:pt>
                <c:pt idx="1">
                  <c:v>Andhra Bank</c:v>
                </c:pt>
                <c:pt idx="2">
                  <c:v>Bank of Baroda</c:v>
                </c:pt>
                <c:pt idx="3">
                  <c:v>Bank of India</c:v>
                </c:pt>
                <c:pt idx="4">
                  <c:v>Bank of Maharashtra</c:v>
                </c:pt>
                <c:pt idx="5">
                  <c:v>Canara Bank</c:v>
                </c:pt>
                <c:pt idx="6">
                  <c:v>Central Bank of India</c:v>
                </c:pt>
                <c:pt idx="7">
                  <c:v>Corporation Bank</c:v>
                </c:pt>
                <c:pt idx="8">
                  <c:v>Dena Bank</c:v>
                </c:pt>
                <c:pt idx="9">
                  <c:v>IDBI Bank Ltd.</c:v>
                </c:pt>
                <c:pt idx="10">
                  <c:v>Indian Bank</c:v>
                </c:pt>
                <c:pt idx="11">
                  <c:v>Indian Overseas Bank</c:v>
                </c:pt>
                <c:pt idx="12">
                  <c:v>Oriental Bank of Commerce</c:v>
                </c:pt>
                <c:pt idx="13">
                  <c:v>Punjab and Sind Bank</c:v>
                </c:pt>
                <c:pt idx="14">
                  <c:v>Punjab National Bank</c:v>
                </c:pt>
                <c:pt idx="15">
                  <c:v>State Bank of Bikaner &amp; Jaipur</c:v>
                </c:pt>
                <c:pt idx="16">
                  <c:v>State Bank of Hyderabad</c:v>
                </c:pt>
                <c:pt idx="17">
                  <c:v>State Bank of India</c:v>
                </c:pt>
                <c:pt idx="18">
                  <c:v>State Bank of Mysore</c:v>
                </c:pt>
                <c:pt idx="19">
                  <c:v>State Bank of Patiala</c:v>
                </c:pt>
                <c:pt idx="20">
                  <c:v>State Bank of Travancore</c:v>
                </c:pt>
                <c:pt idx="21">
                  <c:v>Syndicate Bank</c:v>
                </c:pt>
                <c:pt idx="22">
                  <c:v>UCO Bank</c:v>
                </c:pt>
                <c:pt idx="23">
                  <c:v>Union Bank of India</c:v>
                </c:pt>
                <c:pt idx="24">
                  <c:v>United Bank of India</c:v>
                </c:pt>
                <c:pt idx="25">
                  <c:v>Vijaya Bank</c:v>
                </c:pt>
              </c:strCache>
            </c:strRef>
          </c:cat>
          <c:val>
            <c:numRef>
              <c:f>Sheet1!$C$2:$C$27</c:f>
              <c:numCache>
                <c:formatCode>0.00</c:formatCode>
                <c:ptCount val="26"/>
                <c:pt idx="0">
                  <c:v>30.517367014816614</c:v>
                </c:pt>
                <c:pt idx="1">
                  <c:v>71.559222625378993</c:v>
                </c:pt>
                <c:pt idx="2">
                  <c:v>-6.83430809264937</c:v>
                </c:pt>
                <c:pt idx="3">
                  <c:v>-9.6133788629966705</c:v>
                </c:pt>
                <c:pt idx="4">
                  <c:v>62.293873657739944</c:v>
                </c:pt>
                <c:pt idx="5">
                  <c:v>3.9173614811188071</c:v>
                </c:pt>
                <c:pt idx="6">
                  <c:v>7.3704878417157529</c:v>
                </c:pt>
                <c:pt idx="7">
                  <c:v>27.642711324112181</c:v>
                </c:pt>
                <c:pt idx="8">
                  <c:v>47.884523468119681</c:v>
                </c:pt>
                <c:pt idx="9">
                  <c:v>72.130789297567503</c:v>
                </c:pt>
                <c:pt idx="10">
                  <c:v>3.4542569288113074</c:v>
                </c:pt>
                <c:pt idx="11">
                  <c:v>2.7934792792230101</c:v>
                </c:pt>
                <c:pt idx="12">
                  <c:v>42.141720867481524</c:v>
                </c:pt>
                <c:pt idx="13">
                  <c:v>48.333615867096121</c:v>
                </c:pt>
                <c:pt idx="14">
                  <c:v>-7.6801251178626071</c:v>
                </c:pt>
                <c:pt idx="15">
                  <c:v>240.59944145222423</c:v>
                </c:pt>
                <c:pt idx="16">
                  <c:v>172.32848899337466</c:v>
                </c:pt>
                <c:pt idx="17">
                  <c:v>4.4266848244843837</c:v>
                </c:pt>
                <c:pt idx="18">
                  <c:v>158.0320751373383</c:v>
                </c:pt>
                <c:pt idx="19">
                  <c:v>231.69022703628909</c:v>
                </c:pt>
                <c:pt idx="20">
                  <c:v>173.83801069636655</c:v>
                </c:pt>
                <c:pt idx="21">
                  <c:v>15.486583323164982</c:v>
                </c:pt>
                <c:pt idx="22">
                  <c:v>-6.468244258799678</c:v>
                </c:pt>
                <c:pt idx="23">
                  <c:v>34.266606777461696</c:v>
                </c:pt>
                <c:pt idx="24">
                  <c:v>7.8747115715057197</c:v>
                </c:pt>
                <c:pt idx="25">
                  <c:v>-3.7083800972689862</c:v>
                </c:pt>
              </c:numCache>
            </c:numRef>
          </c:val>
        </c:ser>
        <c:dLbls>
          <c:showLegendKey val="0"/>
          <c:showVal val="0"/>
          <c:showCatName val="0"/>
          <c:showSerName val="0"/>
          <c:showPercent val="0"/>
          <c:showBubbleSize val="0"/>
        </c:dLbls>
        <c:gapWidth val="150"/>
        <c:shape val="box"/>
        <c:axId val="278542128"/>
        <c:axId val="278550360"/>
        <c:axId val="0"/>
      </c:bar3DChart>
      <c:catAx>
        <c:axId val="278542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278550360"/>
        <c:crosses val="autoZero"/>
        <c:auto val="1"/>
        <c:lblAlgn val="ctr"/>
        <c:lblOffset val="100"/>
        <c:noMultiLvlLbl val="0"/>
      </c:catAx>
      <c:valAx>
        <c:axId val="278550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542128"/>
        <c:crosses val="autoZero"/>
        <c:crossBetween val="between"/>
      </c:valAx>
      <c:spPr>
        <a:noFill/>
        <a:ln>
          <a:noFill/>
        </a:ln>
        <a:effectLst/>
      </c:spPr>
    </c:plotArea>
    <c:legend>
      <c:legendPos val="b"/>
      <c:layout>
        <c:manualLayout>
          <c:xMode val="edge"/>
          <c:yMode val="edge"/>
          <c:x val="0.27997716531560157"/>
          <c:y val="0.93331327187426216"/>
          <c:w val="0.44988286380094478"/>
          <c:h val="5.6908370889753521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2400" b="1"/>
              <a:t>(1.36) %age of RTI applications rejected as</a:t>
            </a:r>
            <a:r>
              <a:rPr lang="en-IN" sz="2400" b="1" baseline="0"/>
              <a:t> compared to %age change in Net NPAs of </a:t>
            </a:r>
          </a:p>
          <a:p>
            <a:pPr>
              <a:defRPr/>
            </a:pPr>
            <a:r>
              <a:rPr lang="en-IN" sz="2400" b="1" baseline="0"/>
              <a:t>26 Public Sector Banks (2016-17)</a:t>
            </a:r>
            <a:endParaRPr lang="en-IN" sz="2400" b="1"/>
          </a:p>
        </c:rich>
      </c:tx>
      <c:layout>
        <c:manualLayout>
          <c:xMode val="edge"/>
          <c:yMode val="edge"/>
          <c:x val="0.11086039345816544"/>
          <c:y val="1.156292156484871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9271779520093764E-2"/>
          <c:y val="0.15241857776064754"/>
          <c:w val="0.92706186673335655"/>
          <c:h val="0.71244388712976714"/>
        </c:manualLayout>
      </c:layout>
      <c:bar3DChart>
        <c:barDir val="col"/>
        <c:grouping val="clustered"/>
        <c:varyColors val="0"/>
        <c:ser>
          <c:idx val="0"/>
          <c:order val="0"/>
          <c:tx>
            <c:strRef>
              <c:f>Sheet1!$B$1</c:f>
              <c:strCache>
                <c:ptCount val="1"/>
                <c:pt idx="0">
                  <c:v>%age of RTI applications rejected</c:v>
                </c:pt>
              </c:strCache>
            </c:strRef>
          </c:tx>
          <c:spPr>
            <a:solidFill>
              <a:srgbClr val="00B0F0"/>
            </a:solidFill>
            <a:ln>
              <a:noFill/>
            </a:ln>
            <a:effectLst/>
            <a:sp3d/>
          </c:spPr>
          <c:invertIfNegative val="0"/>
          <c:dLbls>
            <c:dLbl>
              <c:idx val="0"/>
              <c:layout>
                <c:manualLayout>
                  <c:x val="-7.5847357193647783E-3"/>
                  <c:y val="-1.541722875313155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4809196492059728E-3"/>
                  <c:y val="-1.349007515899017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7404598246029864E-3"/>
                  <c:y val="-5.7814607824243592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8442758947617918E-3"/>
                  <c:y val="-7.1174377224199285E-3"/>
                </c:manualLayout>
              </c:layout>
              <c:tx>
                <c:rich>
                  <a:bodyPr/>
                  <a:lstStyle/>
                  <a:p>
                    <a:r>
                      <a:rPr lang="en-US"/>
                      <a:t>NR</a:t>
                    </a:r>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3.7923678596823891E-3"/>
                  <c:y val="-1.779359430604982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7404598246029864E-3"/>
                  <c:y val="-7.413609998038507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5.6885517895236531E-3"/>
                  <c:y val="-1.2455516014235005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9.4809196492066678E-4"/>
                  <c:y val="-2.5052996723838889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5.6885517895235837E-3"/>
                  <c:y val="-5.7814607824243663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4.7404598246030558E-3"/>
                  <c:y val="-1.1562921564848718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7.5847357193647783E-3"/>
                  <c:y val="-2.3125843129697579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6.636643754444181E-3"/>
                  <c:y val="-3.8543071882829768E-3"/>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3.7923678596825283E-3"/>
                  <c:y val="-3.0834457506263249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1.422137947380896E-2"/>
                  <c:y val="-3.6615918288687606E-2"/>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3.7923678596823891E-3"/>
                  <c:y val="-3.4688764694546154E-2"/>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6.636643754444181E-3"/>
                  <c:y val="-4.0470225476970587E-2"/>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9.4809196492059728E-4"/>
                  <c:y val="-3.8543071882829204E-2"/>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9.4809196492045829E-4"/>
                  <c:y val="-4.6251686259394874E-2"/>
                </c:manualLayout>
              </c:layout>
              <c:showLegendKey val="0"/>
              <c:showVal val="1"/>
              <c:showCatName val="0"/>
              <c:showSerName val="0"/>
              <c:showPercent val="0"/>
              <c:showBubbleSize val="0"/>
              <c:extLst>
                <c:ext xmlns:c15="http://schemas.microsoft.com/office/drawing/2012/chart" uri="{CE6537A1-D6FC-4f65-9D91-7224C49458BB}"/>
              </c:extLst>
            </c:dLbl>
            <c:dLbl>
              <c:idx val="23"/>
              <c:layout>
                <c:manualLayout>
                  <c:x val="-1.8961839298411946E-3"/>
                  <c:y val="-4.2551069016728782E-2"/>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2.8442758947617918E-3"/>
                  <c:y val="-4.432453266525342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Sheet1!$A$2:$A$27</c:f>
              <c:strCache>
                <c:ptCount val="26"/>
                <c:pt idx="0">
                  <c:v>Allahabad Bank</c:v>
                </c:pt>
                <c:pt idx="1">
                  <c:v>Andhra Bank</c:v>
                </c:pt>
                <c:pt idx="2">
                  <c:v>Bank of Baroda</c:v>
                </c:pt>
                <c:pt idx="3">
                  <c:v>Bank of India</c:v>
                </c:pt>
                <c:pt idx="4">
                  <c:v>Bank of Maharashtra</c:v>
                </c:pt>
                <c:pt idx="5">
                  <c:v>Canara Bank</c:v>
                </c:pt>
                <c:pt idx="6">
                  <c:v>Central Bank of India</c:v>
                </c:pt>
                <c:pt idx="7">
                  <c:v>Corporation Bank</c:v>
                </c:pt>
                <c:pt idx="8">
                  <c:v>Dena Bank</c:v>
                </c:pt>
                <c:pt idx="9">
                  <c:v>IDBI Bank Ltd.</c:v>
                </c:pt>
                <c:pt idx="10">
                  <c:v>Indian Bank</c:v>
                </c:pt>
                <c:pt idx="11">
                  <c:v>Indian Overseas Bank</c:v>
                </c:pt>
                <c:pt idx="12">
                  <c:v>Oriental Bank of Commerce</c:v>
                </c:pt>
                <c:pt idx="13">
                  <c:v>Punjab and Sind Bank</c:v>
                </c:pt>
                <c:pt idx="14">
                  <c:v>Punjab National Bank</c:v>
                </c:pt>
                <c:pt idx="15">
                  <c:v>State Bank of Bikaner &amp; Jaipur</c:v>
                </c:pt>
                <c:pt idx="16">
                  <c:v>State Bank of Hyderabad</c:v>
                </c:pt>
                <c:pt idx="17">
                  <c:v>State Bank of India</c:v>
                </c:pt>
                <c:pt idx="18">
                  <c:v>State Bank of Mysore</c:v>
                </c:pt>
                <c:pt idx="19">
                  <c:v>State Bank of Patiala</c:v>
                </c:pt>
                <c:pt idx="20">
                  <c:v>State Bank of Travancore</c:v>
                </c:pt>
                <c:pt idx="21">
                  <c:v>Syndicate Bank</c:v>
                </c:pt>
                <c:pt idx="22">
                  <c:v>UCO Bank</c:v>
                </c:pt>
                <c:pt idx="23">
                  <c:v>Union Bank of India</c:v>
                </c:pt>
                <c:pt idx="24">
                  <c:v>United Bank of India</c:v>
                </c:pt>
                <c:pt idx="25">
                  <c:v>Vijaya Bank</c:v>
                </c:pt>
              </c:strCache>
            </c:strRef>
          </c:cat>
          <c:val>
            <c:numRef>
              <c:f>Sheet1!$B$2:$B$27</c:f>
              <c:numCache>
                <c:formatCode>General</c:formatCode>
                <c:ptCount val="26"/>
                <c:pt idx="0">
                  <c:v>36.6</c:v>
                </c:pt>
                <c:pt idx="1">
                  <c:v>45.9</c:v>
                </c:pt>
                <c:pt idx="2">
                  <c:v>34.6</c:v>
                </c:pt>
                <c:pt idx="3">
                  <c:v>23.5</c:v>
                </c:pt>
                <c:pt idx="4">
                  <c:v>34</c:v>
                </c:pt>
                <c:pt idx="5">
                  <c:v>40.5</c:v>
                </c:pt>
                <c:pt idx="6">
                  <c:v>0</c:v>
                </c:pt>
                <c:pt idx="7">
                  <c:v>47.3</c:v>
                </c:pt>
                <c:pt idx="8">
                  <c:v>41.7</c:v>
                </c:pt>
                <c:pt idx="9">
                  <c:v>31</c:v>
                </c:pt>
                <c:pt idx="10">
                  <c:v>11.7</c:v>
                </c:pt>
                <c:pt idx="11">
                  <c:v>35.299999999999997</c:v>
                </c:pt>
                <c:pt idx="12">
                  <c:v>50</c:v>
                </c:pt>
                <c:pt idx="13">
                  <c:v>30.2</c:v>
                </c:pt>
                <c:pt idx="14">
                  <c:v>29.4</c:v>
                </c:pt>
                <c:pt idx="15">
                  <c:v>31.6</c:v>
                </c:pt>
                <c:pt idx="16">
                  <c:v>71</c:v>
                </c:pt>
                <c:pt idx="17">
                  <c:v>17.2</c:v>
                </c:pt>
                <c:pt idx="18">
                  <c:v>34.1</c:v>
                </c:pt>
                <c:pt idx="19">
                  <c:v>13.5</c:v>
                </c:pt>
                <c:pt idx="20">
                  <c:v>30.3</c:v>
                </c:pt>
                <c:pt idx="21">
                  <c:v>24.6</c:v>
                </c:pt>
                <c:pt idx="22">
                  <c:v>26.8</c:v>
                </c:pt>
                <c:pt idx="23">
                  <c:v>23.3</c:v>
                </c:pt>
                <c:pt idx="24">
                  <c:v>13.5</c:v>
                </c:pt>
                <c:pt idx="25">
                  <c:v>38.200000000000003</c:v>
                </c:pt>
              </c:numCache>
            </c:numRef>
          </c:val>
        </c:ser>
        <c:ser>
          <c:idx val="1"/>
          <c:order val="1"/>
          <c:tx>
            <c:strRef>
              <c:f>Sheet1!$C$1</c:f>
              <c:strCache>
                <c:ptCount val="1"/>
                <c:pt idx="0">
                  <c:v>%age change in Net NPAs</c:v>
                </c:pt>
              </c:strCache>
            </c:strRef>
          </c:tx>
          <c:spPr>
            <a:solidFill>
              <a:srgbClr val="FF0000"/>
            </a:solidFill>
            <a:ln>
              <a:noFill/>
            </a:ln>
            <a:effectLst/>
            <a:sp3d/>
          </c:spPr>
          <c:invertIfNegative val="0"/>
          <c:dLbls>
            <c:dLbl>
              <c:idx val="0"/>
              <c:layout>
                <c:manualLayout>
                  <c:x val="8.5328276842853677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5847357193647783E-3"/>
                  <c:y val="6.552329980104799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5328276842853764E-3"/>
                  <c:y val="8.672191173636538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9.4809196492059728E-3"/>
                  <c:y val="-3.958934626054305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7923678596823891E-3"/>
                  <c:y val="-1.349007515899031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1377103579047167E-2"/>
                  <c:y val="-4.1516378513184203E-2"/>
                </c:manualLayout>
              </c:layout>
              <c:showLegendKey val="0"/>
              <c:showVal val="1"/>
              <c:showCatName val="0"/>
              <c:showSerName val="0"/>
              <c:showPercent val="0"/>
              <c:showBubbleSize val="0"/>
              <c:extLst>
                <c:ext xmlns:c15="http://schemas.microsoft.com/office/drawing/2012/chart" uri="{CE6537A1-D6FC-4f65-9D91-7224C49458BB}">
                  <c15:layout>
                    <c:manualLayout>
                      <c:w val="3.1618867030101923E-2"/>
                      <c:h val="3.4014260936596645E-2"/>
                    </c:manualLayout>
                  </c15:layout>
                </c:ext>
              </c:extLst>
            </c:dLbl>
            <c:dLbl>
              <c:idx val="8"/>
              <c:layout>
                <c:manualLayout>
                  <c:x val="1.1377103579047167E-2"/>
                  <c:y val="-1.349007515899024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5.6885517895235143E-3"/>
                  <c:y val="-1.9271535941414671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6.636643754444181E-3"/>
                  <c:y val="-3.2915207218314792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1.1377103579047167E-2"/>
                  <c:y val="-3.8543071882829134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6.636643754444181E-3"/>
                  <c:y val="-1.9271535941414529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1.0429011614126571E-2"/>
                  <c:y val="0.104367837027489"/>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7.5847357193647783E-3"/>
                  <c:y val="-3.4688764694546154E-2"/>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6.636643754444181E-3"/>
                  <c:y val="-2.1198689535556123E-2"/>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1.0429011614126571E-2"/>
                  <c:y val="0.10852369210076511"/>
                </c:manualLayout>
              </c:layout>
              <c:showLegendKey val="0"/>
              <c:showVal val="1"/>
              <c:showCatName val="0"/>
              <c:showSerName val="0"/>
              <c:showPercent val="0"/>
              <c:showBubbleSize val="0"/>
              <c:extLst>
                <c:ext xmlns:c15="http://schemas.microsoft.com/office/drawing/2012/chart" uri="{CE6537A1-D6FC-4f65-9D91-7224C49458BB}"/>
              </c:extLst>
            </c:dLbl>
            <c:dLbl>
              <c:idx val="23"/>
              <c:layout>
                <c:manualLayout>
                  <c:x val="1.2325195543967766E-2"/>
                  <c:y val="-6.3596068606667958E-2"/>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5.6885517895235837E-3"/>
                  <c:y val="-2.5052996723838889E-2"/>
                </c:manualLayout>
              </c:layout>
              <c:showLegendKey val="0"/>
              <c:showVal val="1"/>
              <c:showCatName val="0"/>
              <c:showSerName val="0"/>
              <c:showPercent val="0"/>
              <c:showBubbleSize val="0"/>
              <c:extLst>
                <c:ext xmlns:c15="http://schemas.microsoft.com/office/drawing/2012/chart" uri="{CE6537A1-D6FC-4f65-9D91-7224C49458BB}"/>
              </c:extLst>
            </c:dLbl>
            <c:dLbl>
              <c:idx val="25"/>
              <c:layout>
                <c:manualLayout>
                  <c:x val="1.5169471438729557E-2"/>
                  <c:y val="6.937752938909230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Sheet1!$A$2:$A$27</c:f>
              <c:strCache>
                <c:ptCount val="26"/>
                <c:pt idx="0">
                  <c:v>Allahabad Bank</c:v>
                </c:pt>
                <c:pt idx="1">
                  <c:v>Andhra Bank</c:v>
                </c:pt>
                <c:pt idx="2">
                  <c:v>Bank of Baroda</c:v>
                </c:pt>
                <c:pt idx="3">
                  <c:v>Bank of India</c:v>
                </c:pt>
                <c:pt idx="4">
                  <c:v>Bank of Maharashtra</c:v>
                </c:pt>
                <c:pt idx="5">
                  <c:v>Canara Bank</c:v>
                </c:pt>
                <c:pt idx="6">
                  <c:v>Central Bank of India</c:v>
                </c:pt>
                <c:pt idx="7">
                  <c:v>Corporation Bank</c:v>
                </c:pt>
                <c:pt idx="8">
                  <c:v>Dena Bank</c:v>
                </c:pt>
                <c:pt idx="9">
                  <c:v>IDBI Bank Ltd.</c:v>
                </c:pt>
                <c:pt idx="10">
                  <c:v>Indian Bank</c:v>
                </c:pt>
                <c:pt idx="11">
                  <c:v>Indian Overseas Bank</c:v>
                </c:pt>
                <c:pt idx="12">
                  <c:v>Oriental Bank of Commerce</c:v>
                </c:pt>
                <c:pt idx="13">
                  <c:v>Punjab and Sind Bank</c:v>
                </c:pt>
                <c:pt idx="14">
                  <c:v>Punjab National Bank</c:v>
                </c:pt>
                <c:pt idx="15">
                  <c:v>State Bank of Bikaner &amp; Jaipur</c:v>
                </c:pt>
                <c:pt idx="16">
                  <c:v>State Bank of Hyderabad</c:v>
                </c:pt>
                <c:pt idx="17">
                  <c:v>State Bank of India</c:v>
                </c:pt>
                <c:pt idx="18">
                  <c:v>State Bank of Mysore</c:v>
                </c:pt>
                <c:pt idx="19">
                  <c:v>State Bank of Patiala</c:v>
                </c:pt>
                <c:pt idx="20">
                  <c:v>State Bank of Travancore</c:v>
                </c:pt>
                <c:pt idx="21">
                  <c:v>Syndicate Bank</c:v>
                </c:pt>
                <c:pt idx="22">
                  <c:v>UCO Bank</c:v>
                </c:pt>
                <c:pt idx="23">
                  <c:v>Union Bank of India</c:v>
                </c:pt>
                <c:pt idx="24">
                  <c:v>United Bank of India</c:v>
                </c:pt>
                <c:pt idx="25">
                  <c:v>Vijaya Bank</c:v>
                </c:pt>
              </c:strCache>
            </c:strRef>
          </c:cat>
          <c:val>
            <c:numRef>
              <c:f>Sheet1!$C$2:$C$27</c:f>
              <c:numCache>
                <c:formatCode>0.00</c:formatCode>
                <c:ptCount val="26"/>
                <c:pt idx="0">
                  <c:v>30.517367014816614</c:v>
                </c:pt>
                <c:pt idx="1">
                  <c:v>71.559222625378993</c:v>
                </c:pt>
                <c:pt idx="2">
                  <c:v>-6.83430809264937</c:v>
                </c:pt>
                <c:pt idx="3">
                  <c:v>-9.6133788629966705</c:v>
                </c:pt>
                <c:pt idx="4">
                  <c:v>62.293873657739944</c:v>
                </c:pt>
                <c:pt idx="5">
                  <c:v>3.9173614811188071</c:v>
                </c:pt>
                <c:pt idx="6">
                  <c:v>7.3704878417157529</c:v>
                </c:pt>
                <c:pt idx="7">
                  <c:v>27.642711324112181</c:v>
                </c:pt>
                <c:pt idx="8">
                  <c:v>47.884523468119681</c:v>
                </c:pt>
                <c:pt idx="9">
                  <c:v>72.130789297567503</c:v>
                </c:pt>
                <c:pt idx="10">
                  <c:v>3.4542569288113074</c:v>
                </c:pt>
                <c:pt idx="11">
                  <c:v>2.7934792792230101</c:v>
                </c:pt>
                <c:pt idx="12">
                  <c:v>42.141720867481524</c:v>
                </c:pt>
                <c:pt idx="13">
                  <c:v>48.333615867096121</c:v>
                </c:pt>
                <c:pt idx="14">
                  <c:v>-7.6801251178626071</c:v>
                </c:pt>
                <c:pt idx="15">
                  <c:v>240.59944145222423</c:v>
                </c:pt>
                <c:pt idx="16">
                  <c:v>172.32848899337466</c:v>
                </c:pt>
                <c:pt idx="17">
                  <c:v>4.4266848244843837</c:v>
                </c:pt>
                <c:pt idx="18">
                  <c:v>158.0320751373383</c:v>
                </c:pt>
                <c:pt idx="19">
                  <c:v>231.69022703628909</c:v>
                </c:pt>
                <c:pt idx="20">
                  <c:v>173.83801069636655</c:v>
                </c:pt>
                <c:pt idx="21">
                  <c:v>15.486583323164982</c:v>
                </c:pt>
                <c:pt idx="22">
                  <c:v>-6.468244258799678</c:v>
                </c:pt>
                <c:pt idx="23">
                  <c:v>34.266606777461696</c:v>
                </c:pt>
                <c:pt idx="24">
                  <c:v>7.8747115715057197</c:v>
                </c:pt>
                <c:pt idx="25">
                  <c:v>-3.7083800972689862</c:v>
                </c:pt>
              </c:numCache>
            </c:numRef>
          </c:val>
        </c:ser>
        <c:dLbls>
          <c:showLegendKey val="0"/>
          <c:showVal val="0"/>
          <c:showCatName val="0"/>
          <c:showSerName val="0"/>
          <c:showPercent val="0"/>
          <c:showBubbleSize val="0"/>
        </c:dLbls>
        <c:gapWidth val="150"/>
        <c:shape val="box"/>
        <c:axId val="278542520"/>
        <c:axId val="278543304"/>
        <c:axId val="0"/>
      </c:bar3DChart>
      <c:catAx>
        <c:axId val="278542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278543304"/>
        <c:crosses val="autoZero"/>
        <c:auto val="1"/>
        <c:lblAlgn val="ctr"/>
        <c:lblOffset val="100"/>
        <c:noMultiLvlLbl val="0"/>
      </c:catAx>
      <c:valAx>
        <c:axId val="278543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542520"/>
        <c:crosses val="autoZero"/>
        <c:crossBetween val="between"/>
      </c:valAx>
      <c:spPr>
        <a:noFill/>
        <a:ln>
          <a:noFill/>
        </a:ln>
        <a:effectLst/>
      </c:spPr>
    </c:plotArea>
    <c:legend>
      <c:legendPos val="b"/>
      <c:layout>
        <c:manualLayout>
          <c:xMode val="edge"/>
          <c:yMode val="edge"/>
          <c:x val="0.58595778751168781"/>
          <c:y val="0.95921890324207693"/>
          <c:w val="0.41400525929755344"/>
          <c:h val="4.0781096757923053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t>(1.4) %age of RTI</a:t>
            </a:r>
            <a:r>
              <a:rPr lang="en-US" sz="1800" b="1" baseline="0"/>
              <a:t> applications received by Banks (including RBI) and the rest of Govt. of India: </a:t>
            </a:r>
          </a:p>
          <a:p>
            <a:pPr>
              <a:defRPr/>
            </a:pPr>
            <a:r>
              <a:rPr lang="en-US" sz="1800" b="1" baseline="0"/>
              <a:t>a comparative picture</a:t>
            </a:r>
            <a:endParaRPr lang="en-US" sz="1800" b="1"/>
          </a:p>
        </c:rich>
      </c:tx>
      <c:layout>
        <c:manualLayout>
          <c:xMode val="edge"/>
          <c:yMode val="edge"/>
          <c:x val="0.11304389034703995"/>
          <c:y val="1.90136660724896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50"/>
      <c:rotY val="15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85185185185185"/>
          <c:y val="0.19328944844461288"/>
          <c:w val="0.81964246769176008"/>
          <c:h val="0.71636592918543862"/>
        </c:manualLayout>
      </c:layout>
      <c:pie3DChart>
        <c:varyColors val="1"/>
        <c:ser>
          <c:idx val="0"/>
          <c:order val="0"/>
          <c:tx>
            <c:strRef>
              <c:f>Sheet1!$B$1</c:f>
              <c:strCache>
                <c:ptCount val="1"/>
                <c:pt idx="0">
                  <c:v>Column1</c:v>
                </c:pt>
              </c:strCache>
            </c:strRef>
          </c:tx>
          <c:dPt>
            <c:idx val="0"/>
            <c:bubble3D val="0"/>
            <c:spPr>
              <a:solidFill>
                <a:srgbClr val="00B0F0"/>
              </a:solidFill>
              <a:ln w="25400">
                <a:solidFill>
                  <a:schemeClr val="lt1"/>
                </a:solidFill>
              </a:ln>
              <a:effectLst/>
              <a:sp3d contourW="25400">
                <a:contourClr>
                  <a:schemeClr val="lt1"/>
                </a:contourClr>
              </a:sp3d>
            </c:spPr>
          </c:dPt>
          <c:dPt>
            <c:idx val="1"/>
            <c:bubble3D val="0"/>
            <c:explosion val="11"/>
            <c:spPr>
              <a:solidFill>
                <a:srgbClr val="FF66FF"/>
              </a:solidFill>
              <a:ln w="25400">
                <a:solidFill>
                  <a:schemeClr val="lt1"/>
                </a:solidFill>
              </a:ln>
              <a:effectLst/>
              <a:sp3d contourW="25400">
                <a:contourClr>
                  <a:schemeClr val="lt1"/>
                </a:contourClr>
              </a:sp3d>
            </c:spPr>
          </c:dPt>
          <c:dLbls>
            <c:dLbl>
              <c:idx val="0"/>
              <c:layout>
                <c:manualLayout>
                  <c:x val="-2.4305555555555549E-2"/>
                  <c:y val="-1.926387543803014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layout>
                    <c:manualLayout>
                      <c:w val="8.2754629629629636E-2"/>
                      <c:h val="5.8229352346999406E-2"/>
                    </c:manualLayout>
                  </c15:layout>
                </c:ext>
              </c:extLst>
            </c:dLbl>
            <c:dLbl>
              <c:idx val="1"/>
              <c:layout>
                <c:manualLayout>
                  <c:x val="1.062153689122193E-2"/>
                  <c:y val="3.6543293050934605E-3"/>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Rest of GoI</c:v>
                </c:pt>
                <c:pt idx="1">
                  <c:v>Banks</c:v>
                </c:pt>
              </c:strCache>
            </c:strRef>
          </c:cat>
          <c:val>
            <c:numRef>
              <c:f>Sheet1!$B$2:$B$3</c:f>
              <c:numCache>
                <c:formatCode>General</c:formatCode>
                <c:ptCount val="2"/>
                <c:pt idx="0">
                  <c:v>843586</c:v>
                </c:pt>
                <c:pt idx="1">
                  <c:v>86683</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32916125070007723"/>
          <c:y val="0.895406498063956"/>
          <c:w val="0.33330919775068002"/>
          <c:h val="9.033329835351786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t>(1.5) %age of RTI applications rejected by Banks (including RBI) and the rest of Govt. of India: a comparative picture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40"/>
      <c:rotY val="18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spPr>
              <a:solidFill>
                <a:srgbClr val="00B0F0"/>
              </a:solidFill>
              <a:ln w="25400">
                <a:solidFill>
                  <a:schemeClr val="lt1"/>
                </a:solidFill>
              </a:ln>
              <a:effectLst/>
              <a:sp3d contourW="25400">
                <a:contourClr>
                  <a:schemeClr val="lt1"/>
                </a:contourClr>
              </a:sp3d>
            </c:spPr>
          </c:dPt>
          <c:dPt>
            <c:idx val="1"/>
            <c:bubble3D val="0"/>
            <c:explosion val="6"/>
            <c:spPr>
              <a:solidFill>
                <a:srgbClr val="FF66FF"/>
              </a:solidFill>
              <a:ln w="25400">
                <a:solidFill>
                  <a:schemeClr val="lt1"/>
                </a:solidFill>
              </a:ln>
              <a:effectLst/>
              <a:sp3d contourW="25400">
                <a:contourClr>
                  <a:schemeClr val="lt1"/>
                </a:contourClr>
              </a:sp3d>
            </c:spPr>
          </c:dPt>
          <c:dLbls>
            <c:dLbl>
              <c:idx val="0"/>
              <c:layout>
                <c:manualLayout>
                  <c:x val="-6.0558323207238959E-3"/>
                  <c:y val="-4.2385026390931904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6.8624388119856378E-4"/>
                  <c:y val="2.5922601021026219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Rest of GoI</c:v>
                </c:pt>
                <c:pt idx="1">
                  <c:v>Banks</c:v>
                </c:pt>
              </c:strCache>
            </c:strRef>
          </c:cat>
          <c:val>
            <c:numRef>
              <c:f>Sheet1!$B$2:$B$3</c:f>
              <c:numCache>
                <c:formatCode>General</c:formatCode>
                <c:ptCount val="2"/>
                <c:pt idx="0">
                  <c:v>40741</c:v>
                </c:pt>
                <c:pt idx="1">
                  <c:v>19687</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31669619422572176"/>
          <c:y val="0.90753231674570933"/>
          <c:w val="0.41521872265966753"/>
          <c:h val="7.8058461352273331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2000" b="1"/>
              <a:t>(1.6) 5 Banks show increase</a:t>
            </a:r>
            <a:r>
              <a:rPr lang="en-IN" sz="2000" b="1" baseline="0"/>
              <a:t> in both RTI receipts and the rate of rejection</a:t>
            </a:r>
          </a:p>
          <a:p>
            <a:pPr>
              <a:defRPr/>
            </a:pPr>
            <a:r>
              <a:rPr lang="en-IN" sz="2000" b="1" baseline="0"/>
              <a:t>(2016-17 as compared with 2015-16)</a:t>
            </a:r>
            <a:endParaRPr lang="en-IN" sz="2000" b="1"/>
          </a:p>
        </c:rich>
      </c:tx>
      <c:layout>
        <c:manualLayout>
          <c:xMode val="edge"/>
          <c:yMode val="edge"/>
          <c:x val="0.10020370966012654"/>
          <c:y val="1.299228583028826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40"/>
      <c:rotY val="4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RTI applications</c:v>
                </c:pt>
              </c:strCache>
            </c:strRef>
          </c:tx>
          <c:spPr>
            <a:solidFill>
              <a:srgbClr val="00B0F0"/>
            </a:solidFill>
            <a:ln>
              <a:noFill/>
            </a:ln>
            <a:effectLst/>
            <a:sp3d/>
          </c:spPr>
          <c:invertIfNegative val="0"/>
          <c:dLbls>
            <c:dLbl>
              <c:idx val="0"/>
              <c:layout>
                <c:manualLayout>
                  <c:x val="-1.9298809906722419E-2"/>
                  <c:y val="-1.786439301664636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94884287454325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2.4360535931790619E-2"/>
                </c:manualLayout>
              </c:layout>
              <c:showLegendKey val="0"/>
              <c:showVal val="1"/>
              <c:showCatName val="0"/>
              <c:showSerName val="0"/>
              <c:showPercent val="0"/>
              <c:showBubbleSize val="0"/>
              <c:extLst>
                <c:ext xmlns:c15="http://schemas.microsoft.com/office/drawing/2012/chart" uri="{CE6537A1-D6FC-4f65-9D91-7224C49458BB}">
                  <c15:layout>
                    <c:manualLayout>
                      <c:w val="5.8475394017368926E-2"/>
                      <c:h val="2.8664230613073487E-2"/>
                    </c:manualLayout>
                  </c15:layout>
                </c:ext>
              </c:extLst>
            </c:dLbl>
            <c:dLbl>
              <c:idx val="3"/>
              <c:layout>
                <c:manualLayout>
                  <c:x val="0"/>
                  <c:y val="-3.085667884693463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721561059290233E-2"/>
                  <c:y val="-4.222492894843692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IDBI Bank Ltd.</c:v>
                </c:pt>
                <c:pt idx="1">
                  <c:v>Indian Bank</c:v>
                </c:pt>
                <c:pt idx="2">
                  <c:v>State Bank of Bikaner &amp; Jaipur</c:v>
                </c:pt>
                <c:pt idx="3">
                  <c:v>Vijaya Bank</c:v>
                </c:pt>
                <c:pt idx="4">
                  <c:v>Reserve Bank of India</c:v>
                </c:pt>
              </c:strCache>
            </c:strRef>
          </c:cat>
          <c:val>
            <c:numRef>
              <c:f>Sheet1!$B$2:$B$6</c:f>
              <c:numCache>
                <c:formatCode>0.00</c:formatCode>
                <c:ptCount val="5"/>
                <c:pt idx="0">
                  <c:v>1.6260162601626016</c:v>
                </c:pt>
                <c:pt idx="1">
                  <c:v>7.6547231270358305</c:v>
                </c:pt>
                <c:pt idx="2">
                  <c:v>3.1374786081003991</c:v>
                </c:pt>
                <c:pt idx="3">
                  <c:v>22.055137844611529</c:v>
                </c:pt>
                <c:pt idx="4">
                  <c:v>14.666205465236942</c:v>
                </c:pt>
              </c:numCache>
            </c:numRef>
          </c:val>
        </c:ser>
        <c:ser>
          <c:idx val="1"/>
          <c:order val="1"/>
          <c:tx>
            <c:strRef>
              <c:f>Sheet1!$C$1</c:f>
              <c:strCache>
                <c:ptCount val="1"/>
                <c:pt idx="0">
                  <c:v>Rate of rejection</c:v>
                </c:pt>
              </c:strCache>
            </c:strRef>
          </c:tx>
          <c:spPr>
            <a:solidFill>
              <a:srgbClr val="FF0000"/>
            </a:solidFill>
            <a:ln>
              <a:noFill/>
            </a:ln>
            <a:effectLst/>
            <a:sp3d/>
          </c:spPr>
          <c:invertIfNegative val="0"/>
          <c:dLbls>
            <c:dLbl>
              <c:idx val="0"/>
              <c:layout>
                <c:manualLayout>
                  <c:x val="6.4329366355741395E-3"/>
                  <c:y val="-2.760860738936256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0741932025302886E-2"/>
                  <c:y val="-3.248071457572078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443122118580467E-2"/>
                  <c:y val="-3.085667884693463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1463493084593116E-2"/>
                  <c:y val="-2.9232643118148629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1463493084593116E-2"/>
                  <c:y val="-4.222492894843686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IDBI Bank Ltd.</c:v>
                </c:pt>
                <c:pt idx="1">
                  <c:v>Indian Bank</c:v>
                </c:pt>
                <c:pt idx="2">
                  <c:v>State Bank of Bikaner &amp; Jaipur</c:v>
                </c:pt>
                <c:pt idx="3">
                  <c:v>Vijaya Bank</c:v>
                </c:pt>
                <c:pt idx="4">
                  <c:v>Reserve Bank of India</c:v>
                </c:pt>
              </c:strCache>
            </c:strRef>
          </c:cat>
          <c:val>
            <c:numRef>
              <c:f>Sheet1!$C$2:$C$6</c:f>
              <c:numCache>
                <c:formatCode>General</c:formatCode>
                <c:ptCount val="5"/>
                <c:pt idx="0">
                  <c:v>3.8000000000000007</c:v>
                </c:pt>
                <c:pt idx="1">
                  <c:v>1.8999999999999986</c:v>
                </c:pt>
                <c:pt idx="2">
                  <c:v>2.9000000000000021</c:v>
                </c:pt>
                <c:pt idx="3">
                  <c:v>18.500000000000004</c:v>
                </c:pt>
                <c:pt idx="4">
                  <c:v>1.2</c:v>
                </c:pt>
              </c:numCache>
            </c:numRef>
          </c:val>
        </c:ser>
        <c:dLbls>
          <c:showLegendKey val="0"/>
          <c:showVal val="0"/>
          <c:showCatName val="0"/>
          <c:showSerName val="0"/>
          <c:showPercent val="0"/>
          <c:showBubbleSize val="0"/>
        </c:dLbls>
        <c:gapWidth val="150"/>
        <c:shape val="box"/>
        <c:axId val="286806416"/>
        <c:axId val="286808376"/>
        <c:axId val="0"/>
      </c:bar3DChart>
      <c:catAx>
        <c:axId val="286806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286808376"/>
        <c:crosses val="autoZero"/>
        <c:auto val="1"/>
        <c:lblAlgn val="ctr"/>
        <c:lblOffset val="100"/>
        <c:noMultiLvlLbl val="0"/>
      </c:catAx>
      <c:valAx>
        <c:axId val="286808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06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r>
              <a:rPr lang="en-IN" sz="2000" b="1" i="0" baseline="0">
                <a:effectLst/>
              </a:rPr>
              <a:t>(1.7) 3 Banks show decrease in both RTI receipts and the rate of rejection</a:t>
            </a:r>
            <a:endParaRPr lang="en-IN" sz="2000">
              <a:effectLst/>
            </a:endParaRPr>
          </a:p>
          <a:p>
            <a:pPr>
              <a:defRPr sz="2000"/>
            </a:pPr>
            <a:r>
              <a:rPr lang="en-IN" sz="2000" b="1" i="0" baseline="0">
                <a:effectLst/>
              </a:rPr>
              <a:t>(2016-17 as compared with 2015-16)</a:t>
            </a:r>
            <a:endParaRPr lang="en-IN" sz="2000">
              <a:effectLst/>
            </a:endParaRPr>
          </a:p>
        </c:rich>
      </c:tx>
      <c:overlay val="0"/>
      <c:spPr>
        <a:noFill/>
        <a:ln>
          <a:noFill/>
        </a:ln>
        <a:effectLst/>
      </c:spPr>
      <c:txPr>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40"/>
      <c:rotY val="4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RTI applications</c:v>
                </c:pt>
              </c:strCache>
            </c:strRef>
          </c:tx>
          <c:spPr>
            <a:solidFill>
              <a:srgbClr val="00B0F0"/>
            </a:solidFill>
            <a:ln>
              <a:noFill/>
            </a:ln>
            <a:effectLst/>
            <a:sp3d/>
          </c:spPr>
          <c:invertIfNegative val="0"/>
          <c:dLbls>
            <c:dLbl>
              <c:idx val="1"/>
              <c:layout>
                <c:manualLayout>
                  <c:x val="-2.0098482564567112E-3"/>
                  <c:y val="-7.969450439980073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098482564565637E-3"/>
                  <c:y val="8.301510874979368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Punjab National Bank</c:v>
                </c:pt>
                <c:pt idx="1">
                  <c:v>State Bank of India</c:v>
                </c:pt>
                <c:pt idx="2">
                  <c:v>State Bank of Mysore</c:v>
                </c:pt>
              </c:strCache>
            </c:strRef>
          </c:cat>
          <c:val>
            <c:numRef>
              <c:f>Sheet1!$B$2:$B$5</c:f>
              <c:numCache>
                <c:formatCode>0.00</c:formatCode>
                <c:ptCount val="4"/>
                <c:pt idx="0">
                  <c:v>-5.6961251680723626</c:v>
                </c:pt>
                <c:pt idx="1">
                  <c:v>-9.8638784770171628E-2</c:v>
                </c:pt>
                <c:pt idx="2">
                  <c:v>-13.157894736842104</c:v>
                </c:pt>
              </c:numCache>
            </c:numRef>
          </c:val>
        </c:ser>
        <c:ser>
          <c:idx val="1"/>
          <c:order val="1"/>
          <c:tx>
            <c:strRef>
              <c:f>Sheet1!$C$1</c:f>
              <c:strCache>
                <c:ptCount val="1"/>
                <c:pt idx="0">
                  <c:v>Rate of rejection</c:v>
                </c:pt>
              </c:strCache>
            </c:strRef>
          </c:tx>
          <c:spPr>
            <a:solidFill>
              <a:srgbClr val="FF0000"/>
            </a:solidFill>
            <a:ln>
              <a:noFill/>
            </a:ln>
            <a:effectLst/>
            <a:sp3d/>
          </c:spPr>
          <c:invertIfNegative val="0"/>
          <c:dLbls>
            <c:dLbl>
              <c:idx val="0"/>
              <c:layout>
                <c:manualLayout>
                  <c:x val="4.4216661642046025E-2"/>
                  <c:y val="-6.475170054678693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0196965129132012E-3"/>
                  <c:y val="-3.154574132492113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8482564566375094E-2"/>
                  <c:y val="9.228791658008187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Punjab National Bank</c:v>
                </c:pt>
                <c:pt idx="1">
                  <c:v>State Bank of India</c:v>
                </c:pt>
                <c:pt idx="2">
                  <c:v>State Bank of Mysore</c:v>
                </c:pt>
              </c:strCache>
            </c:strRef>
          </c:cat>
          <c:val>
            <c:numRef>
              <c:f>Sheet1!$C$2:$C$5</c:f>
              <c:numCache>
                <c:formatCode>General</c:formatCode>
                <c:ptCount val="4"/>
                <c:pt idx="0">
                  <c:v>-0.80000000000000071</c:v>
                </c:pt>
                <c:pt idx="1">
                  <c:v>-1.1999999999999993</c:v>
                </c:pt>
                <c:pt idx="2">
                  <c:v>-2.1999999999999957</c:v>
                </c:pt>
              </c:numCache>
            </c:numRef>
          </c:val>
        </c:ser>
        <c:dLbls>
          <c:showLegendKey val="0"/>
          <c:showVal val="0"/>
          <c:showCatName val="0"/>
          <c:showSerName val="0"/>
          <c:showPercent val="0"/>
          <c:showBubbleSize val="0"/>
        </c:dLbls>
        <c:gapWidth val="150"/>
        <c:shape val="box"/>
        <c:axId val="286802104"/>
        <c:axId val="286807592"/>
        <c:axId val="0"/>
      </c:bar3DChart>
      <c:catAx>
        <c:axId val="286802104"/>
        <c:scaling>
          <c:orientation val="minMax"/>
        </c:scaling>
        <c:delete val="0"/>
        <c:axPos val="b"/>
        <c:numFmt formatCode="General" sourceLinked="1"/>
        <c:majorTickMark val="none"/>
        <c:minorTickMark val="none"/>
        <c:tickLblPos val="low"/>
        <c:spPr>
          <a:noFill/>
          <a:ln>
            <a:noFill/>
          </a:ln>
          <a:effectLst/>
        </c:spPr>
        <c:txPr>
          <a:bodyPr rot="0" spcFirstLastPara="1" vertOverflow="ellipsis" wrap="square" anchor="b" anchorCtr="0"/>
          <a:lstStyle/>
          <a:p>
            <a:pPr>
              <a:defRPr sz="1400" b="0" i="0" u="none" strike="noStrike" kern="1200" baseline="0">
                <a:solidFill>
                  <a:schemeClr val="tx1">
                    <a:lumMod val="65000"/>
                    <a:lumOff val="35000"/>
                  </a:schemeClr>
                </a:solidFill>
                <a:latin typeface="+mn-lt"/>
                <a:ea typeface="+mn-ea"/>
                <a:cs typeface="+mn-cs"/>
              </a:defRPr>
            </a:pPr>
            <a:endParaRPr lang="en-US"/>
          </a:p>
        </c:txPr>
        <c:crossAx val="286807592"/>
        <c:crosses val="autoZero"/>
        <c:auto val="1"/>
        <c:lblAlgn val="ctr"/>
        <c:lblOffset val="100"/>
        <c:noMultiLvlLbl val="0"/>
      </c:catAx>
      <c:valAx>
        <c:axId val="286807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02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r>
              <a:rPr lang="en-IN" sz="2000" b="1" i="0" baseline="0">
                <a:effectLst/>
              </a:rPr>
              <a:t>(1.8) 10 Banks show increase in RTI receipts but decrease in the rate of rejection</a:t>
            </a:r>
            <a:endParaRPr lang="en-IN" sz="2000">
              <a:effectLst/>
            </a:endParaRPr>
          </a:p>
          <a:p>
            <a:pPr>
              <a:defRPr sz="2000"/>
            </a:pPr>
            <a:r>
              <a:rPr lang="en-IN" sz="2000" b="1" i="0" baseline="0">
                <a:effectLst/>
              </a:rPr>
              <a:t>(2016-17 as compared with 2015-16)</a:t>
            </a:r>
            <a:endParaRPr lang="en-IN" sz="2000">
              <a:effectLst/>
            </a:endParaRPr>
          </a:p>
        </c:rich>
      </c:tx>
      <c:overlay val="0"/>
      <c:spPr>
        <a:noFill/>
        <a:ln>
          <a:noFill/>
        </a:ln>
        <a:effectLst/>
      </c:spPr>
      <c:txPr>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4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RTI applications</c:v>
                </c:pt>
              </c:strCache>
            </c:strRef>
          </c:tx>
          <c:spPr>
            <a:solidFill>
              <a:srgbClr val="00B0F0"/>
            </a:solidFill>
            <a:ln>
              <a:noFill/>
            </a:ln>
            <a:effectLst/>
            <a:sp3d/>
          </c:spPr>
          <c:invertIfNegative val="0"/>
          <c:dLbls>
            <c:dLbl>
              <c:idx val="1"/>
              <c:layout>
                <c:manualLayout>
                  <c:x val="1.1280315848843767E-2"/>
                  <c:y val="-4.923682914820297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8800526414739268E-3"/>
                  <c:y val="-1.148859346791399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3.774823568028897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625964221237485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3.282455276546857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7601052829479226E-3"/>
                  <c:y val="-4.595437387165612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9.8473658296405718E-3"/>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7601052829479226E-3"/>
                  <c:y val="-2.625964221237485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Andhra Bank</c:v>
                </c:pt>
                <c:pt idx="1">
                  <c:v>Bank of India</c:v>
                </c:pt>
                <c:pt idx="2">
                  <c:v>Bank of Maharashtra</c:v>
                </c:pt>
                <c:pt idx="3">
                  <c:v>Canara Bank</c:v>
                </c:pt>
                <c:pt idx="4">
                  <c:v>Corporation Bank</c:v>
                </c:pt>
                <c:pt idx="5">
                  <c:v>Dena Bank</c:v>
                </c:pt>
                <c:pt idx="6">
                  <c:v>Indian Overseas Bank</c:v>
                </c:pt>
                <c:pt idx="7">
                  <c:v>Syndicate Bank</c:v>
                </c:pt>
                <c:pt idx="8">
                  <c:v>UCO Bank</c:v>
                </c:pt>
                <c:pt idx="9">
                  <c:v>United Bank of India</c:v>
                </c:pt>
              </c:strCache>
            </c:strRef>
          </c:cat>
          <c:val>
            <c:numRef>
              <c:f>Sheet1!$B$2:$B$11</c:f>
              <c:numCache>
                <c:formatCode>0.00</c:formatCode>
                <c:ptCount val="10"/>
                <c:pt idx="0">
                  <c:v>3.6659877800407301</c:v>
                </c:pt>
                <c:pt idx="1">
                  <c:v>9.4267515923566876</c:v>
                </c:pt>
                <c:pt idx="2">
                  <c:v>3.9940828402366866</c:v>
                </c:pt>
                <c:pt idx="3">
                  <c:v>36.563262460787733</c:v>
                </c:pt>
                <c:pt idx="4">
                  <c:v>34.926052332195674</c:v>
                </c:pt>
                <c:pt idx="5">
                  <c:v>2.189054726368159</c:v>
                </c:pt>
                <c:pt idx="6">
                  <c:v>5.7080131723380898</c:v>
                </c:pt>
                <c:pt idx="7">
                  <c:v>17.936117936117935</c:v>
                </c:pt>
                <c:pt idx="8">
                  <c:v>112.41655540720961</c:v>
                </c:pt>
                <c:pt idx="9">
                  <c:v>608.88888888888891</c:v>
                </c:pt>
              </c:numCache>
            </c:numRef>
          </c:val>
        </c:ser>
        <c:ser>
          <c:idx val="1"/>
          <c:order val="1"/>
          <c:tx>
            <c:strRef>
              <c:f>Sheet1!$C$1</c:f>
              <c:strCache>
                <c:ptCount val="1"/>
                <c:pt idx="0">
                  <c:v>Rate of rejection</c:v>
                </c:pt>
              </c:strCache>
            </c:strRef>
          </c:tx>
          <c:spPr>
            <a:solidFill>
              <a:srgbClr val="FF0000"/>
            </a:solidFill>
            <a:ln>
              <a:noFill/>
            </a:ln>
            <a:effectLst/>
            <a:sp3d/>
          </c:spPr>
          <c:invertIfNegative val="0"/>
          <c:dLbls>
            <c:dLbl>
              <c:idx val="0"/>
              <c:layout>
                <c:manualLayout>
                  <c:x val="1.8800526414739595E-2"/>
                  <c:y val="8.042015427539800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16036849031773E-2"/>
                  <c:y val="6.56493639919825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632073698063539E-2"/>
                  <c:y val="7.057291767628012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680579056213573E-2"/>
                  <c:y val="5.744309657009269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16036849031773E-2"/>
                  <c:y val="6.893169003800682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8800526414739543E-2"/>
                  <c:y val="0.11324483627138938"/>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6920473773265512E-2"/>
                  <c:y val="8.206138191367143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5040421131791552E-2"/>
                  <c:y val="7.221414531455366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6320736980635459E-2"/>
                  <c:y val="9.026764933556139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0080842263583381E-2"/>
                  <c:y val="0.1083210241260462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Andhra Bank</c:v>
                </c:pt>
                <c:pt idx="1">
                  <c:v>Bank of India</c:v>
                </c:pt>
                <c:pt idx="2">
                  <c:v>Bank of Maharashtra</c:v>
                </c:pt>
                <c:pt idx="3">
                  <c:v>Canara Bank</c:v>
                </c:pt>
                <c:pt idx="4">
                  <c:v>Corporation Bank</c:v>
                </c:pt>
                <c:pt idx="5">
                  <c:v>Dena Bank</c:v>
                </c:pt>
                <c:pt idx="6">
                  <c:v>Indian Overseas Bank</c:v>
                </c:pt>
                <c:pt idx="7">
                  <c:v>Syndicate Bank</c:v>
                </c:pt>
                <c:pt idx="8">
                  <c:v>UCO Bank</c:v>
                </c:pt>
                <c:pt idx="9">
                  <c:v>United Bank of India</c:v>
                </c:pt>
              </c:strCache>
            </c:strRef>
          </c:cat>
          <c:val>
            <c:numRef>
              <c:f>Sheet1!$C$2:$C$11</c:f>
              <c:numCache>
                <c:formatCode>General</c:formatCode>
                <c:ptCount val="10"/>
                <c:pt idx="0">
                  <c:v>-10.100000000000001</c:v>
                </c:pt>
                <c:pt idx="1">
                  <c:v>-3.8999999999999986</c:v>
                </c:pt>
                <c:pt idx="2">
                  <c:v>-4.5</c:v>
                </c:pt>
                <c:pt idx="3">
                  <c:v>-7.6000000000000014</c:v>
                </c:pt>
                <c:pt idx="4">
                  <c:v>-2.3000000000000043</c:v>
                </c:pt>
                <c:pt idx="5">
                  <c:v>-6.2999999999999972</c:v>
                </c:pt>
                <c:pt idx="6">
                  <c:v>-8.6000000000000014</c:v>
                </c:pt>
                <c:pt idx="7">
                  <c:v>-6.5999999999999979</c:v>
                </c:pt>
                <c:pt idx="8">
                  <c:v>-0.89999999999999858</c:v>
                </c:pt>
                <c:pt idx="9">
                  <c:v>-51.7</c:v>
                </c:pt>
              </c:numCache>
            </c:numRef>
          </c:val>
        </c:ser>
        <c:dLbls>
          <c:showLegendKey val="0"/>
          <c:showVal val="0"/>
          <c:showCatName val="0"/>
          <c:showSerName val="0"/>
          <c:showPercent val="0"/>
          <c:showBubbleSize val="0"/>
        </c:dLbls>
        <c:gapWidth val="150"/>
        <c:shape val="box"/>
        <c:axId val="286800536"/>
        <c:axId val="286802496"/>
        <c:axId val="0"/>
      </c:bar3DChart>
      <c:catAx>
        <c:axId val="286800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286802496"/>
        <c:crosses val="autoZero"/>
        <c:auto val="1"/>
        <c:lblAlgn val="ctr"/>
        <c:lblOffset val="100"/>
        <c:noMultiLvlLbl val="0"/>
      </c:catAx>
      <c:valAx>
        <c:axId val="2868024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00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r>
              <a:rPr lang="en-IN" sz="2000" b="1" i="0" baseline="0">
                <a:effectLst/>
              </a:rPr>
              <a:t>(1.9) 8 Banks show decrease in RTI receipts but increase in </a:t>
            </a:r>
          </a:p>
          <a:p>
            <a:pPr>
              <a:defRPr sz="2000"/>
            </a:pPr>
            <a:r>
              <a:rPr lang="en-IN" sz="2000" b="1" i="0" baseline="0">
                <a:effectLst/>
              </a:rPr>
              <a:t>the rate of rejection</a:t>
            </a:r>
            <a:endParaRPr lang="en-IN" sz="2000">
              <a:effectLst/>
            </a:endParaRPr>
          </a:p>
          <a:p>
            <a:pPr>
              <a:defRPr sz="2000"/>
            </a:pPr>
            <a:r>
              <a:rPr lang="en-IN" sz="2000" b="1" i="0" baseline="0">
                <a:effectLst/>
              </a:rPr>
              <a:t>(2016-17 as compared with 2015-16)</a:t>
            </a:r>
            <a:endParaRPr lang="en-IN" sz="2000">
              <a:effectLst/>
            </a:endParaRPr>
          </a:p>
        </c:rich>
      </c:tx>
      <c:overlay val="0"/>
      <c:spPr>
        <a:noFill/>
        <a:ln>
          <a:noFill/>
        </a:ln>
        <a:effectLst/>
      </c:spPr>
      <c:txPr>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4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5074305654716361E-2"/>
          <c:y val="0.18431149461472798"/>
          <c:w val="0.87701152629384216"/>
          <c:h val="0.6764385221078133"/>
        </c:manualLayout>
      </c:layout>
      <c:bar3DChart>
        <c:barDir val="col"/>
        <c:grouping val="clustered"/>
        <c:varyColors val="0"/>
        <c:ser>
          <c:idx val="0"/>
          <c:order val="0"/>
          <c:tx>
            <c:strRef>
              <c:f>Sheet1!$B$1</c:f>
              <c:strCache>
                <c:ptCount val="1"/>
                <c:pt idx="0">
                  <c:v>RTI applications</c:v>
                </c:pt>
              </c:strCache>
            </c:strRef>
          </c:tx>
          <c:spPr>
            <a:solidFill>
              <a:srgbClr val="00B0F0"/>
            </a:solidFill>
            <a:ln>
              <a:noFill/>
            </a:ln>
            <a:effectLst/>
            <a:sp3d/>
          </c:spPr>
          <c:invertIfNegative val="0"/>
          <c:dLbls>
            <c:dLbl>
              <c:idx val="0"/>
              <c:layout>
                <c:manualLayout>
                  <c:x val="-1.396194235203296E-2"/>
                  <c:y val="0.1438678593980989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0224628961091341E-3"/>
                  <c:y val="0.1089918256130790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9300594433859917E-3"/>
                  <c:y val="0.36176914055955778"/>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0978253016400537E-2"/>
                      <c:h val="3.2873509469254152E-2"/>
                    </c:manualLayout>
                  </c15:layout>
                </c:ext>
              </c:extLst>
            </c:dLbl>
            <c:dLbl>
              <c:idx val="3"/>
              <c:layout>
                <c:manualLayout>
                  <c:x val="-1.2835993940176595E-2"/>
                  <c:y val="0.15902418907947471"/>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97301467112146E-3"/>
                  <c:y val="0.48760512955520496"/>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5775139136435342E-3"/>
                  <c:y val="0.1124811526218797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3806777422094688E-4"/>
                  <c:y val="0.41252711659815028"/>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2089984850440429E-3"/>
                  <c:y val="0.5529528939815420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Allahabad Bank</c:v>
                </c:pt>
                <c:pt idx="1">
                  <c:v>Bank of Baroda</c:v>
                </c:pt>
                <c:pt idx="2">
                  <c:v>Oriental Bank of Commerce</c:v>
                </c:pt>
                <c:pt idx="3">
                  <c:v>Punjab and Sind Bank</c:v>
                </c:pt>
                <c:pt idx="4">
                  <c:v>State Bank of Hyderabad</c:v>
                </c:pt>
                <c:pt idx="5">
                  <c:v>State Bank of Patiala</c:v>
                </c:pt>
                <c:pt idx="6">
                  <c:v>State Bank of Travancore</c:v>
                </c:pt>
                <c:pt idx="7">
                  <c:v>Union Bank of India</c:v>
                </c:pt>
              </c:strCache>
            </c:strRef>
          </c:cat>
          <c:val>
            <c:numRef>
              <c:f>Sheet1!$B$2:$B$9</c:f>
              <c:numCache>
                <c:formatCode>0.00</c:formatCode>
                <c:ptCount val="8"/>
                <c:pt idx="0">
                  <c:v>-10.349462365591398</c:v>
                </c:pt>
                <c:pt idx="1">
                  <c:v>-5.2040212891780016</c:v>
                </c:pt>
                <c:pt idx="2">
                  <c:v>-36.574531095755184</c:v>
                </c:pt>
                <c:pt idx="3">
                  <c:v>-11.759799833194329</c:v>
                </c:pt>
                <c:pt idx="4">
                  <c:v>-52.109464082098064</c:v>
                </c:pt>
                <c:pt idx="5">
                  <c:v>-4.9429657794676807</c:v>
                </c:pt>
                <c:pt idx="6">
                  <c:v>-37.917222963951936</c:v>
                </c:pt>
                <c:pt idx="7">
                  <c:v>-58.248472505091648</c:v>
                </c:pt>
              </c:numCache>
            </c:numRef>
          </c:val>
        </c:ser>
        <c:ser>
          <c:idx val="1"/>
          <c:order val="1"/>
          <c:tx>
            <c:strRef>
              <c:f>Sheet1!$C$1</c:f>
              <c:strCache>
                <c:ptCount val="1"/>
                <c:pt idx="0">
                  <c:v>Rate of rejection</c:v>
                </c:pt>
              </c:strCache>
            </c:strRef>
          </c:tx>
          <c:spPr>
            <a:solidFill>
              <a:srgbClr val="FF0000"/>
            </a:solidFill>
            <a:ln>
              <a:noFill/>
            </a:ln>
            <a:effectLst/>
            <a:sp3d/>
          </c:spPr>
          <c:invertIfNegative val="0"/>
          <c:dLbls>
            <c:dLbl>
              <c:idx val="0"/>
              <c:layout>
                <c:manualLayout>
                  <c:x val="1.4750083484705658E-2"/>
                  <c:y val="-7.3094382023850945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642908464922486E-2"/>
                  <c:y val="-2.155029312007030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253910950661854E-2"/>
                  <c:y val="-1.257597987843221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9.6269554753309269E-3"/>
                  <c:y val="-2.095996646405365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6565561520690272E-2"/>
                  <c:y val="-1.241665577400206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5298836742880063E-2"/>
                  <c:y val="-4.1919932928107702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0858403529883558E-2"/>
                  <c:y val="-3.1439949696080487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8880866425992663E-2"/>
                  <c:y val="-1.886396981764829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Allahabad Bank</c:v>
                </c:pt>
                <c:pt idx="1">
                  <c:v>Bank of Baroda</c:v>
                </c:pt>
                <c:pt idx="2">
                  <c:v>Oriental Bank of Commerce</c:v>
                </c:pt>
                <c:pt idx="3">
                  <c:v>Punjab and Sind Bank</c:v>
                </c:pt>
                <c:pt idx="4">
                  <c:v>State Bank of Hyderabad</c:v>
                </c:pt>
                <c:pt idx="5">
                  <c:v>State Bank of Patiala</c:v>
                </c:pt>
                <c:pt idx="6">
                  <c:v>State Bank of Travancore</c:v>
                </c:pt>
                <c:pt idx="7">
                  <c:v>Union Bank of India</c:v>
                </c:pt>
              </c:strCache>
            </c:strRef>
          </c:cat>
          <c:val>
            <c:numRef>
              <c:f>Sheet1!$C$2:$C$9</c:f>
              <c:numCache>
                <c:formatCode>General</c:formatCode>
                <c:ptCount val="8"/>
                <c:pt idx="0">
                  <c:v>0.60000000000000142</c:v>
                </c:pt>
                <c:pt idx="1">
                  <c:v>5.2000000000000028</c:v>
                </c:pt>
                <c:pt idx="2">
                  <c:v>17.799999999999997</c:v>
                </c:pt>
                <c:pt idx="3">
                  <c:v>10.199999999999999</c:v>
                </c:pt>
                <c:pt idx="4">
                  <c:v>19.100000000000001</c:v>
                </c:pt>
                <c:pt idx="5">
                  <c:v>0.59999999999999964</c:v>
                </c:pt>
                <c:pt idx="6">
                  <c:v>3.1000000000000014</c:v>
                </c:pt>
                <c:pt idx="7">
                  <c:v>3.1000000000000014</c:v>
                </c:pt>
              </c:numCache>
            </c:numRef>
          </c:val>
        </c:ser>
        <c:dLbls>
          <c:showLegendKey val="0"/>
          <c:showVal val="0"/>
          <c:showCatName val="0"/>
          <c:showSerName val="0"/>
          <c:showPercent val="0"/>
          <c:showBubbleSize val="0"/>
        </c:dLbls>
        <c:gapWidth val="150"/>
        <c:shape val="box"/>
        <c:axId val="286807200"/>
        <c:axId val="286800928"/>
        <c:axId val="0"/>
      </c:bar3DChart>
      <c:catAx>
        <c:axId val="286807200"/>
        <c:scaling>
          <c:orientation val="minMax"/>
        </c:scaling>
        <c:delete val="0"/>
        <c:axPos val="b"/>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86800928"/>
        <c:crosses val="autoZero"/>
        <c:auto val="1"/>
        <c:lblAlgn val="ctr"/>
        <c:lblOffset val="100"/>
        <c:noMultiLvlLbl val="0"/>
      </c:catAx>
      <c:valAx>
        <c:axId val="2868009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80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365EC-209C-44E1-9B31-B38611D6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35</Pages>
  <Words>5938</Words>
  <Characters>33847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39706</CharactersWithSpaces>
  <SharedDoc>false</SharedDoc>
  <HLinks>
    <vt:vector size="84" baseType="variant">
      <vt:variant>
        <vt:i4>2490478</vt:i4>
      </vt:variant>
      <vt:variant>
        <vt:i4>39</vt:i4>
      </vt:variant>
      <vt:variant>
        <vt:i4>0</vt:i4>
      </vt:variant>
      <vt:variant>
        <vt:i4>5</vt:i4>
      </vt:variant>
      <vt:variant>
        <vt:lpwstr>http://www.cic.gov.in/sites/default/files/Reports/CIC Annual Report English-2015-16.pdf</vt:lpwstr>
      </vt:variant>
      <vt:variant>
        <vt:lpwstr/>
      </vt:variant>
      <vt:variant>
        <vt:i4>2490478</vt:i4>
      </vt:variant>
      <vt:variant>
        <vt:i4>36</vt:i4>
      </vt:variant>
      <vt:variant>
        <vt:i4>0</vt:i4>
      </vt:variant>
      <vt:variant>
        <vt:i4>5</vt:i4>
      </vt:variant>
      <vt:variant>
        <vt:lpwstr>http://www.cic.gov.in/sites/default/files/Reports/CIC Annual Report English-2015-16.pdf</vt:lpwstr>
      </vt:variant>
      <vt:variant>
        <vt:lpwstr/>
      </vt:variant>
      <vt:variant>
        <vt:i4>196616</vt:i4>
      </vt:variant>
      <vt:variant>
        <vt:i4>33</vt:i4>
      </vt:variant>
      <vt:variant>
        <vt:i4>0</vt:i4>
      </vt:variant>
      <vt:variant>
        <vt:i4>5</vt:i4>
      </vt:variant>
      <vt:variant>
        <vt:lpwstr>http://cic.gov.in/AnnualReports/AR-2013-14/AR2013-14E.pdf</vt:lpwstr>
      </vt:variant>
      <vt:variant>
        <vt:lpwstr/>
      </vt:variant>
      <vt:variant>
        <vt:i4>196616</vt:i4>
      </vt:variant>
      <vt:variant>
        <vt:i4>30</vt:i4>
      </vt:variant>
      <vt:variant>
        <vt:i4>0</vt:i4>
      </vt:variant>
      <vt:variant>
        <vt:i4>5</vt:i4>
      </vt:variant>
      <vt:variant>
        <vt:lpwstr>http://cic.gov.in/AnnualReports/AR-2012-13/AR2012-13E.pdf</vt:lpwstr>
      </vt:variant>
      <vt:variant>
        <vt:lpwstr/>
      </vt:variant>
      <vt:variant>
        <vt:i4>196616</vt:i4>
      </vt:variant>
      <vt:variant>
        <vt:i4>27</vt:i4>
      </vt:variant>
      <vt:variant>
        <vt:i4>0</vt:i4>
      </vt:variant>
      <vt:variant>
        <vt:i4>5</vt:i4>
      </vt:variant>
      <vt:variant>
        <vt:lpwstr>http://cic.gov.in/AnnualReports/AR-2011-12/AR2011-12E.pdf</vt:lpwstr>
      </vt:variant>
      <vt:variant>
        <vt:lpwstr/>
      </vt:variant>
      <vt:variant>
        <vt:i4>2490478</vt:i4>
      </vt:variant>
      <vt:variant>
        <vt:i4>24</vt:i4>
      </vt:variant>
      <vt:variant>
        <vt:i4>0</vt:i4>
      </vt:variant>
      <vt:variant>
        <vt:i4>5</vt:i4>
      </vt:variant>
      <vt:variant>
        <vt:lpwstr>http://www.cic.gov.in/sites/default/files/Reports/CIC Annual Report English-2015-16.pdf</vt:lpwstr>
      </vt:variant>
      <vt:variant>
        <vt:lpwstr/>
      </vt:variant>
      <vt:variant>
        <vt:i4>2490478</vt:i4>
      </vt:variant>
      <vt:variant>
        <vt:i4>21</vt:i4>
      </vt:variant>
      <vt:variant>
        <vt:i4>0</vt:i4>
      </vt:variant>
      <vt:variant>
        <vt:i4>5</vt:i4>
      </vt:variant>
      <vt:variant>
        <vt:lpwstr>http://www.cic.gov.in/sites/default/files/Reports/CIC Annual Report English-2015-16.pdf</vt:lpwstr>
      </vt:variant>
      <vt:variant>
        <vt:lpwstr/>
      </vt:variant>
      <vt:variant>
        <vt:i4>196616</vt:i4>
      </vt:variant>
      <vt:variant>
        <vt:i4>18</vt:i4>
      </vt:variant>
      <vt:variant>
        <vt:i4>0</vt:i4>
      </vt:variant>
      <vt:variant>
        <vt:i4>5</vt:i4>
      </vt:variant>
      <vt:variant>
        <vt:lpwstr>http://cic.gov.in/AnnualReports/AR-2013-14/AR2013-14E.pdf</vt:lpwstr>
      </vt:variant>
      <vt:variant>
        <vt:lpwstr/>
      </vt:variant>
      <vt:variant>
        <vt:i4>196616</vt:i4>
      </vt:variant>
      <vt:variant>
        <vt:i4>15</vt:i4>
      </vt:variant>
      <vt:variant>
        <vt:i4>0</vt:i4>
      </vt:variant>
      <vt:variant>
        <vt:i4>5</vt:i4>
      </vt:variant>
      <vt:variant>
        <vt:lpwstr>http://cic.gov.in/AnnualReports/AR-2012-13/AR2012-13E.pdf</vt:lpwstr>
      </vt:variant>
      <vt:variant>
        <vt:lpwstr/>
      </vt:variant>
      <vt:variant>
        <vt:i4>196616</vt:i4>
      </vt:variant>
      <vt:variant>
        <vt:i4>12</vt:i4>
      </vt:variant>
      <vt:variant>
        <vt:i4>0</vt:i4>
      </vt:variant>
      <vt:variant>
        <vt:i4>5</vt:i4>
      </vt:variant>
      <vt:variant>
        <vt:lpwstr>http://cic.gov.in/AnnualReports/AR-2011-12/AR2011-12E.pdf</vt:lpwstr>
      </vt:variant>
      <vt:variant>
        <vt:lpwstr/>
      </vt:variant>
      <vt:variant>
        <vt:i4>2490478</vt:i4>
      </vt:variant>
      <vt:variant>
        <vt:i4>9</vt:i4>
      </vt:variant>
      <vt:variant>
        <vt:i4>0</vt:i4>
      </vt:variant>
      <vt:variant>
        <vt:i4>5</vt:i4>
      </vt:variant>
      <vt:variant>
        <vt:lpwstr>http://www.cic.gov.in/sites/default/files/Reports/CIC Annual Report English-2015-16.pdf</vt:lpwstr>
      </vt:variant>
      <vt:variant>
        <vt:lpwstr/>
      </vt:variant>
      <vt:variant>
        <vt:i4>196616</vt:i4>
      </vt:variant>
      <vt:variant>
        <vt:i4>6</vt:i4>
      </vt:variant>
      <vt:variant>
        <vt:i4>0</vt:i4>
      </vt:variant>
      <vt:variant>
        <vt:i4>5</vt:i4>
      </vt:variant>
      <vt:variant>
        <vt:lpwstr>http://cic.gov.in/AnnualReports/AR-2013-14/AR2013-14E.pdf</vt:lpwstr>
      </vt:variant>
      <vt:variant>
        <vt:lpwstr/>
      </vt:variant>
      <vt:variant>
        <vt:i4>196616</vt:i4>
      </vt:variant>
      <vt:variant>
        <vt:i4>3</vt:i4>
      </vt:variant>
      <vt:variant>
        <vt:i4>0</vt:i4>
      </vt:variant>
      <vt:variant>
        <vt:i4>5</vt:i4>
      </vt:variant>
      <vt:variant>
        <vt:lpwstr>http://cic.gov.in/AnnualReports/AR-2012-13/AR2012-13E.pdf</vt:lpwstr>
      </vt:variant>
      <vt:variant>
        <vt:lpwstr/>
      </vt:variant>
      <vt:variant>
        <vt:i4>196616</vt:i4>
      </vt:variant>
      <vt:variant>
        <vt:i4>0</vt:i4>
      </vt:variant>
      <vt:variant>
        <vt:i4>0</vt:i4>
      </vt:variant>
      <vt:variant>
        <vt:i4>5</vt:i4>
      </vt:variant>
      <vt:variant>
        <vt:lpwstr>http://cic.gov.in/AnnualReports/AR-2011-12/AR2011-12E.pdf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Nayak</dc:creator>
  <cp:keywords/>
  <dc:description/>
  <cp:lastModifiedBy>Venkatesh Nayak</cp:lastModifiedBy>
  <cp:revision>198</cp:revision>
  <cp:lastPrinted>2018-04-16T11:21:00Z</cp:lastPrinted>
  <dcterms:created xsi:type="dcterms:W3CDTF">2018-03-28T10:01:00Z</dcterms:created>
  <dcterms:modified xsi:type="dcterms:W3CDTF">2018-04-18T10:27:00Z</dcterms:modified>
</cp:coreProperties>
</file>